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header2.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1056"/>
        <w:pBdr/>
        <w:spacing w:after="120" w:before="120"/>
        <w:ind/>
        <w:rPr>
          <w:sz w:val="48"/>
          <w:szCs w:val="48"/>
          <w:highlight w:val="none"/>
        </w:rPr>
      </w:pPr>
      <w:r>
        <w:rPr>
          <w:sz w:val="48"/>
          <w:szCs w:val="48"/>
        </w:rPr>
        <w:t xml:space="preserve">PREGÃO</w:t>
      </w:r>
      <w:r>
        <w:rPr>
          <w:sz w:val="48"/>
          <w:szCs w:val="48"/>
          <w:highlight w:val="none"/>
        </w:rPr>
      </w:r>
    </w:p>
    <w:p>
      <w:pPr>
        <w:pStyle w:val="1056"/>
        <w:pBdr/>
        <w:tabs>
          <w:tab w:val="clear" w:leader="none" w:pos="720"/>
          <w:tab w:val="left" w:leader="none" w:pos="4710"/>
          <w:tab w:val="left" w:leader="none" w:pos="6957"/>
        </w:tabs>
        <w:spacing/>
        <w:ind/>
        <w:rPr>
          <w:b/>
          <w:sz w:val="48"/>
          <w:szCs w:val="48"/>
        </w:rPr>
      </w:pPr>
      <w:r>
        <w:rPr>
          <w:sz w:val="48"/>
          <w:szCs w:val="48"/>
        </w:rPr>
        <w:t xml:space="preserve">ELETRÔNICO </w:t>
        <w:tab/>
        <w:tab/>
      </w:r>
      <w:r>
        <w:rPr>
          <w:b/>
          <w:sz w:val="48"/>
          <w:szCs w:val="48"/>
        </w:rPr>
      </w:r>
    </w:p>
    <w:p>
      <w:pPr>
        <w:pStyle w:val="1056"/>
        <w:pBdr/>
        <w:spacing/>
        <w:ind/>
        <w:rPr>
          <w:sz w:val="40"/>
          <w:szCs w:val="40"/>
          <w:highlight w:val="none"/>
        </w:rPr>
      </w:pPr>
      <w:r>
        <w:rPr>
          <w:sz w:val="40"/>
          <w:szCs w:val="40"/>
        </w:rPr>
        <w:t xml:space="preserve">020/2025</w:t>
      </w:r>
      <w:r>
        <w:rPr>
          <w:sz w:val="40"/>
          <w:szCs w:val="40"/>
        </w:rPr>
      </w:r>
    </w:p>
    <w:p>
      <w:pPr>
        <w:pStyle w:val="1056"/>
        <w:pBdr/>
        <w:spacing/>
        <w:ind/>
        <w:rPr>
          <w:sz w:val="40"/>
          <w:szCs w:val="40"/>
        </w:rPr>
      </w:pPr>
      <w:r>
        <w:rPr>
          <w:sz w:val="40"/>
          <w:szCs w:val="40"/>
          <w:highlight w:val="none"/>
        </w:rPr>
      </w:r>
      <w:r>
        <w:rPr>
          <w:sz w:val="40"/>
          <w:szCs w:val="40"/>
          <w:highlight w:val="none"/>
        </w:rPr>
      </w:r>
      <w:r>
        <w:rPr>
          <w:sz w:val="40"/>
          <w:szCs w:val="40"/>
          <w:highlight w:val="none"/>
        </w:rPr>
      </w:r>
    </w:p>
    <w:p>
      <w:pPr>
        <w:pStyle w:val="1056"/>
        <w:pBdr/>
        <w:spacing w:line="259" w:lineRule="auto"/>
        <w:ind/>
        <w:rPr>
          <w:b/>
          <w:bCs/>
          <w:sz w:val="26"/>
          <w:szCs w:val="26"/>
          <w:highlight w:val="none"/>
        </w:rPr>
      </w:pPr>
      <w:r>
        <w:rPr>
          <w:b/>
          <w:sz w:val="32"/>
          <w:szCs w:val="32"/>
        </w:rPr>
        <w:t xml:space="preserve">CONTRATANTES</w:t>
      </w:r>
      <w:r>
        <w:rPr>
          <w:b/>
          <w:sz w:val="26"/>
          <w:szCs w:val="26"/>
        </w:rPr>
        <w:t xml:space="preserve"> (UASG)</w:t>
      </w:r>
      <w:r>
        <w:rPr>
          <w:b/>
          <w:bCs/>
          <w:sz w:val="26"/>
          <w:szCs w:val="26"/>
          <w:highlight w:val="none"/>
        </w:rPr>
      </w:r>
    </w:p>
    <w:p>
      <w:pPr>
        <w:pStyle w:val="1056"/>
        <w:pBdr/>
        <w:spacing w:after="0" w:before="0" w:line="276" w:lineRule="auto"/>
        <w:ind/>
        <w:rPr>
          <w:rFonts w:eastAsia="Cambria"/>
          <w:color w:val="000000" w:themeColor="text1"/>
          <w:sz w:val="26"/>
          <w:szCs w:val="26"/>
          <w14:ligatures w14:val="none"/>
        </w:rPr>
      </w:pPr>
      <w:r>
        <w:rPr>
          <w:rFonts w:eastAsia="Cambria"/>
          <w:color w:val="000000" w:themeColor="text1"/>
          <w:sz w:val="26"/>
          <w:szCs w:val="26"/>
        </w:rPr>
        <w:t xml:space="preserve">Prefeitura Municipal de Rio das Flôres (985889)</w:t>
      </w:r>
      <w:r>
        <w:rPr>
          <w:rFonts w:eastAsia="Cambria"/>
          <w:color w:val="000000" w:themeColor="text1"/>
          <w:sz w:val="26"/>
          <w:szCs w:val="26"/>
          <w14:ligatures w14:val="none"/>
        </w:rPr>
      </w:r>
    </w:p>
    <w:p>
      <w:pPr>
        <w:pStyle w:val="1056"/>
        <w:pBdr/>
        <w:spacing w:after="0" w:before="0" w:line="276" w:lineRule="auto"/>
        <w:ind/>
        <w:rPr>
          <w:rFonts w:eastAsia="Cambria"/>
          <w:color w:val="000000" w:themeColor="text1"/>
          <w:sz w:val="26"/>
          <w:szCs w:val="26"/>
          <w14:ligatures w14:val="none"/>
        </w:rPr>
      </w:pPr>
      <w:r>
        <w:rPr>
          <w:rFonts w:eastAsia="Cambria"/>
          <w:color w:val="000000" w:themeColor="text1"/>
          <w:sz w:val="26"/>
          <w:szCs w:val="26"/>
          <w14:ligatures w14:val="none"/>
        </w:rPr>
      </w:r>
      <w:r>
        <w:rPr>
          <w:rFonts w:eastAsia="Cambria"/>
          <w:color w:val="000000" w:themeColor="text1"/>
          <w:sz w:val="26"/>
          <w:szCs w:val="26"/>
          <w14:ligatures w14:val="none"/>
        </w:rPr>
      </w:r>
    </w:p>
    <w:p>
      <w:pPr>
        <w:pStyle w:val="1056"/>
        <w:pBdr/>
        <w:spacing/>
        <w:ind/>
        <w:rPr>
          <w:b/>
          <w:sz w:val="26"/>
          <w:szCs w:val="26"/>
        </w:rPr>
      </w:pPr>
      <w:r>
        <w:rPr>
          <w:b/>
          <w:sz w:val="32"/>
          <w:szCs w:val="32"/>
        </w:rPr>
        <w:t xml:space="preserve">OBJETO</w:t>
      </w:r>
      <w:r>
        <w:rPr>
          <w:b/>
          <w:sz w:val="26"/>
          <w:szCs w:val="26"/>
        </w:rPr>
      </w:r>
    </w:p>
    <w:p>
      <w:pPr>
        <w:pStyle w:val="1056"/>
        <w:pBdr/>
        <w:spacing w:after="0" w:before="0" w:line="276" w:lineRule="auto"/>
        <w:ind/>
        <w:rPr>
          <w:rFonts w:eastAsia="Cambria"/>
          <w:color w:val="000000" w:themeColor="text1"/>
          <w:sz w:val="26"/>
          <w:szCs w:val="26"/>
          <w14:ligatures w14:val="none"/>
        </w:rPr>
      </w:pPr>
      <w:r>
        <w:rPr>
          <w:rFonts w:eastAsia="Cambria"/>
          <w:color w:val="000000" w:themeColor="text1"/>
          <w:sz w:val="26"/>
          <w:szCs w:val="26"/>
          <w:lang w:val="en-US"/>
        </w:rPr>
        <w:t xml:space="preserve">Futura e Eventual contratação de empresa especializada na prestação de serviços de dedetização incluindo desratização, descupinização, desinsetização, controle de escorpiões e expurgo visando à m</w:t>
      </w:r>
      <w:r>
        <w:rPr>
          <w:rFonts w:eastAsia="Cambria"/>
          <w:color w:val="000000" w:themeColor="text1"/>
          <w:sz w:val="26"/>
          <w:szCs w:val="26"/>
          <w:lang w:val="en-US"/>
        </w:rPr>
        <w:t xml:space="preserve">anutenção dos prédios públicos municipais e atendimento das demandas da Prefeitura, Fundos e demais setores da Administração Pública Municipal de Rio das Flores, por meio de Pregão Eletrônico, no sistema Registro de Preços com validade de 12 (doze) meses. </w:t>
      </w:r>
      <w:r>
        <w:rPr>
          <w:rFonts w:eastAsia="Cambria"/>
          <w:color w:val="000000" w:themeColor="text1"/>
          <w:sz w:val="26"/>
          <w:szCs w:val="26"/>
          <w14:ligatures w14:val="none"/>
        </w:rPr>
      </w:r>
    </w:p>
    <w:p>
      <w:pPr>
        <w:pStyle w:val="1056"/>
        <w:pBdr/>
        <w:spacing w:line="276" w:lineRule="auto"/>
        <w:ind/>
        <w:rPr/>
      </w:pPr>
      <w:r>
        <w:rPr>
          <w:sz w:val="28"/>
          <w:szCs w:val="28"/>
        </w:rPr>
        <w:t xml:space="preserve"> </w:t>
      </w:r>
      <w:r/>
    </w:p>
    <w:p>
      <w:pPr>
        <w:pStyle w:val="1056"/>
        <w:pBdr/>
        <w:spacing/>
        <w:ind/>
        <w:rPr>
          <w:b/>
          <w:sz w:val="26"/>
          <w:szCs w:val="26"/>
        </w:rPr>
      </w:pPr>
      <w:r>
        <w:rPr>
          <w:b/>
          <w:sz w:val="32"/>
          <w:szCs w:val="32"/>
        </w:rPr>
        <w:t xml:space="preserve">VALOR</w:t>
      </w:r>
      <w:r>
        <w:rPr>
          <w:b/>
          <w:sz w:val="26"/>
          <w:szCs w:val="26"/>
        </w:rPr>
        <w:t xml:space="preserve"> </w:t>
      </w:r>
      <w:r>
        <w:rPr>
          <w:b/>
          <w:sz w:val="32"/>
          <w:szCs w:val="32"/>
        </w:rPr>
        <w:t xml:space="preserve">TOTAL DA CONTRATAÇÃO</w:t>
      </w:r>
      <w:r>
        <w:rPr>
          <w:b/>
          <w:sz w:val="26"/>
          <w:szCs w:val="26"/>
        </w:rPr>
      </w:r>
    </w:p>
    <w:p>
      <w:pPr>
        <w:pStyle w:val="1056"/>
        <w:pBdr/>
        <w:bidi w:val="false"/>
        <w:spacing/>
        <w:ind/>
        <w:rPr>
          <w:b/>
          <w:bCs/>
          <w:sz w:val="26"/>
          <w:szCs w:val="26"/>
          <w:shd w:val="clear" w:color="auto" w:fill="auto"/>
          <w14:ligatures w14:val="none"/>
        </w:rPr>
      </w:pPr>
      <w:r>
        <w:rPr>
          <w:b/>
          <w:bCs/>
          <w:sz w:val="26"/>
          <w:szCs w:val="26"/>
          <w:lang w:val="en-US"/>
        </w:rPr>
        <w:t xml:space="preserve">R$ 72.187,20 (Setenta e dois mil, cento e oitenta e sete reais e vinte centavos).</w:t>
      </w:r>
      <w:r>
        <w:rPr>
          <w:b/>
          <w:bCs/>
          <w:sz w:val="26"/>
          <w:szCs w:val="26"/>
          <w:shd w:val="clear" w:color="auto" w:fill="auto"/>
          <w14:ligatures w14:val="none"/>
        </w:rPr>
      </w:r>
    </w:p>
    <w:p>
      <w:pPr>
        <w:pStyle w:val="1056"/>
        <w:pBdr/>
        <w:spacing/>
        <w:ind/>
        <w:rPr>
          <w:sz w:val="26"/>
          <w:szCs w:val="26"/>
        </w:rPr>
      </w:pPr>
      <w:r>
        <w:rPr>
          <w:sz w:val="26"/>
          <w:szCs w:val="26"/>
        </w:rPr>
      </w:r>
      <w:r>
        <w:rPr>
          <w:sz w:val="26"/>
          <w:szCs w:val="26"/>
        </w:rPr>
      </w:r>
    </w:p>
    <w:p>
      <w:pPr>
        <w:pStyle w:val="1056"/>
        <w:pBdr/>
        <w:spacing/>
        <w:ind/>
        <w:rPr>
          <w:b/>
          <w:sz w:val="26"/>
          <w:szCs w:val="26"/>
        </w:rPr>
      </w:pPr>
      <w:r>
        <w:rPr>
          <w:b/>
          <w:sz w:val="32"/>
          <w:szCs w:val="32"/>
        </w:rPr>
        <w:t xml:space="preserve">DATA DA SESSÃO PÚBLICA</w:t>
      </w:r>
      <w:r>
        <w:rPr>
          <w:b/>
          <w:sz w:val="26"/>
          <w:szCs w:val="26"/>
        </w:rPr>
      </w:r>
    </w:p>
    <w:p>
      <w:pPr>
        <w:pStyle w:val="1056"/>
        <w:pBdr/>
        <w:spacing/>
        <w:ind/>
        <w:rPr>
          <w:b/>
          <w:bCs/>
          <w:sz w:val="28"/>
          <w:szCs w:val="28"/>
        </w:rPr>
      </w:pPr>
      <w:r>
        <w:rPr>
          <w:sz w:val="28"/>
          <w:szCs w:val="28"/>
        </w:rPr>
        <w:t xml:space="preserve">Dia </w:t>
      </w:r>
      <w:r>
        <w:rPr>
          <w:b/>
          <w:bCs/>
          <w:sz w:val="28"/>
          <w:szCs w:val="28"/>
        </w:rPr>
        <w:t xml:space="preserve">27/04/2026 </w:t>
      </w:r>
      <w:r>
        <w:rPr>
          <w:sz w:val="28"/>
          <w:szCs w:val="28"/>
        </w:rPr>
        <w:t xml:space="preserve">às </w:t>
      </w:r>
      <w:r>
        <w:rPr>
          <w:b/>
          <w:sz w:val="28"/>
          <w:szCs w:val="28"/>
        </w:rPr>
        <w:t xml:space="preserve">09</w:t>
      </w:r>
      <w:r>
        <w:rPr>
          <w:b/>
          <w:bCs/>
          <w:sz w:val="28"/>
          <w:szCs w:val="28"/>
        </w:rPr>
        <w:t xml:space="preserve">h00min (horário de Brasília)</w:t>
      </w:r>
      <w:r>
        <w:rPr>
          <w:b/>
          <w:bCs/>
          <w:sz w:val="28"/>
          <w:szCs w:val="28"/>
        </w:rPr>
      </w:r>
    </w:p>
    <w:p>
      <w:pPr>
        <w:pStyle w:val="1056"/>
        <w:pBdr/>
        <w:spacing/>
        <w:ind/>
        <w:rPr>
          <w:b/>
          <w:sz w:val="26"/>
          <w:szCs w:val="26"/>
        </w:rPr>
      </w:pPr>
      <w:r>
        <w:rPr>
          <w:b/>
          <w:sz w:val="26"/>
          <w:szCs w:val="26"/>
        </w:rPr>
      </w:r>
      <w:r>
        <w:rPr>
          <w:b/>
          <w:sz w:val="26"/>
          <w:szCs w:val="26"/>
        </w:rPr>
      </w:r>
    </w:p>
    <w:p>
      <w:pPr>
        <w:pStyle w:val="1056"/>
        <w:pBdr/>
        <w:spacing/>
        <w:ind/>
        <w:rPr>
          <w:smallCaps/>
          <w:sz w:val="32"/>
          <w:szCs w:val="32"/>
        </w:rPr>
      </w:pPr>
      <w:r>
        <w:rPr>
          <w:b/>
          <w:smallCaps/>
          <w:sz w:val="32"/>
          <w:szCs w:val="32"/>
        </w:rPr>
        <w:t xml:space="preserve">CRITÉRIO DE JULGAMENTO</w:t>
      </w:r>
      <w:r>
        <w:rPr>
          <w:smallCaps/>
          <w:sz w:val="32"/>
          <w:szCs w:val="32"/>
        </w:rPr>
      </w:r>
    </w:p>
    <w:p>
      <w:pPr>
        <w:pStyle w:val="1056"/>
        <w:pBdr/>
        <w:spacing/>
        <w:ind/>
        <w:rPr>
          <w:sz w:val="28"/>
          <w:szCs w:val="28"/>
        </w:rPr>
      </w:pPr>
      <w:r>
        <w:rPr>
          <w:sz w:val="28"/>
          <w:szCs w:val="28"/>
        </w:rPr>
        <w:t xml:space="preserve">menor preço por item</w:t>
      </w:r>
      <w:r>
        <w:rPr>
          <w:sz w:val="28"/>
          <w:szCs w:val="28"/>
        </w:rPr>
      </w:r>
    </w:p>
    <w:p>
      <w:pPr>
        <w:pStyle w:val="1056"/>
        <w:pBdr/>
        <w:spacing/>
        <w:ind/>
        <w:rPr>
          <w:sz w:val="26"/>
          <w:szCs w:val="26"/>
        </w:rPr>
      </w:pPr>
      <w:r>
        <w:rPr>
          <w:sz w:val="26"/>
          <w:szCs w:val="26"/>
        </w:rPr>
      </w:r>
      <w:r>
        <w:rPr>
          <w:sz w:val="26"/>
          <w:szCs w:val="26"/>
        </w:rPr>
      </w:r>
    </w:p>
    <w:p>
      <w:pPr>
        <w:pStyle w:val="1056"/>
        <w:pBdr/>
        <w:spacing/>
        <w:ind/>
        <w:rPr>
          <w:smallCaps/>
          <w:sz w:val="32"/>
          <w:szCs w:val="32"/>
        </w:rPr>
      </w:pPr>
      <w:r>
        <w:rPr>
          <w:b/>
          <w:smallCaps/>
          <w:sz w:val="32"/>
          <w:szCs w:val="32"/>
        </w:rPr>
        <w:t xml:space="preserve">MODO DE DISPUTA</w:t>
      </w:r>
      <w:r>
        <w:rPr>
          <w:smallCaps/>
          <w:sz w:val="32"/>
          <w:szCs w:val="32"/>
        </w:rPr>
      </w:r>
    </w:p>
    <w:p>
      <w:pPr>
        <w:pStyle w:val="1056"/>
        <w:pBdr/>
        <w:spacing/>
        <w:ind/>
        <w:rPr>
          <w:sz w:val="28"/>
          <w:szCs w:val="28"/>
          <w:highlight w:val="none"/>
        </w:rPr>
      </w:pPr>
      <w:r>
        <w:rPr>
          <w:sz w:val="28"/>
          <w:szCs w:val="28"/>
        </w:rPr>
        <w:t xml:space="preserve">aberto e fechado</w:t>
      </w:r>
      <w:r>
        <w:rPr>
          <w:sz w:val="28"/>
          <w:szCs w:val="28"/>
          <w:highlight w:val="none"/>
        </w:rPr>
      </w:r>
    </w:p>
    <w:p>
      <w:pPr>
        <w:pStyle w:val="1056"/>
        <w:pBdr/>
        <w:spacing/>
        <w:ind/>
        <w:rPr>
          <w:sz w:val="28"/>
          <w:szCs w:val="28"/>
        </w:rPr>
      </w:pPr>
      <w:r>
        <w:rPr>
          <w:sz w:val="28"/>
          <w:szCs w:val="28"/>
        </w:rPr>
      </w:r>
      <w:r>
        <w:rPr>
          <w:sz w:val="28"/>
          <w:szCs w:val="28"/>
        </w:rPr>
      </w:r>
    </w:p>
    <w:p>
      <w:pPr>
        <w:pStyle w:val="1056"/>
        <w:pBdr/>
        <w:spacing/>
        <w:ind/>
        <w:rPr>
          <w:b/>
          <w:sz w:val="32"/>
          <w:szCs w:val="32"/>
        </w:rPr>
      </w:pPr>
      <w:r>
        <w:rPr>
          <w:b/>
          <w:sz w:val="32"/>
          <w:szCs w:val="32"/>
        </w:rPr>
        <w:t xml:space="preserve">PREFERÊNCIA ME/EPP/EQUIPARADAS</w:t>
      </w:r>
      <w:r>
        <w:rPr>
          <w:b/>
          <w:sz w:val="32"/>
          <w:szCs w:val="32"/>
        </w:rPr>
      </w:r>
    </w:p>
    <w:p>
      <w:pPr>
        <w:pStyle w:val="1056"/>
        <w:pBdr/>
        <w:spacing/>
        <w:ind/>
        <w:rPr>
          <w:b/>
          <w:sz w:val="26"/>
          <w:szCs w:val="26"/>
        </w:rPr>
      </w:pPr>
      <w:r>
        <w:rPr>
          <w:b/>
          <w:sz w:val="26"/>
          <w:szCs w:val="26"/>
        </w:rPr>
        <w:t xml:space="preserve">SIM</w:t>
      </w:r>
      <w:r>
        <w:rPr>
          <w:b/>
          <w:sz w:val="26"/>
          <w:szCs w:val="26"/>
        </w:rPr>
      </w:r>
    </w:p>
    <w:p>
      <w:pPr>
        <w:pStyle w:val="1056"/>
        <w:pBdr/>
        <w:spacing w:after="288" w:before="288" w:line="312" w:lineRule="auto"/>
        <w:ind/>
        <w:jc w:val="center"/>
        <w:rPr>
          <w:b/>
          <w:sz w:val="24"/>
          <w:szCs w:val="24"/>
        </w:rPr>
      </w:pPr>
      <w:r>
        <w:rPr>
          <w:b/>
          <w:sz w:val="24"/>
          <w:szCs w:val="24"/>
        </w:rPr>
        <w:t xml:space="preserve">PREFEITURA MUNICIPAL DE RIO DAS FLÔRES</w:t>
      </w:r>
      <w:r>
        <w:rPr>
          <w:b/>
          <w:sz w:val="24"/>
          <w:szCs w:val="24"/>
        </w:rPr>
      </w:r>
    </w:p>
    <w:p>
      <w:pPr>
        <w:pStyle w:val="1056"/>
        <w:pBdr/>
        <w:spacing w:after="288" w:before="288" w:line="312" w:lineRule="auto"/>
        <w:ind/>
        <w:jc w:val="center"/>
        <w:rPr>
          <w:b/>
          <w:sz w:val="24"/>
          <w:szCs w:val="24"/>
        </w:rPr>
      </w:pPr>
      <w:r>
        <w:rPr>
          <w:b/>
          <w:sz w:val="24"/>
          <w:szCs w:val="24"/>
        </w:rPr>
        <w:t xml:space="preserve">PREGÃO ELETRÔNICO Nº 020/2025</w:t>
      </w:r>
      <w:r>
        <w:rPr>
          <w:b/>
          <w:sz w:val="24"/>
          <w:szCs w:val="24"/>
        </w:rPr>
      </w:r>
    </w:p>
    <w:p>
      <w:pPr>
        <w:pStyle w:val="1056"/>
        <w:pBdr/>
        <w:spacing w:after="288" w:before="288" w:line="312" w:lineRule="auto"/>
        <w:ind/>
        <w:jc w:val="center"/>
        <w:rPr>
          <w:sz w:val="24"/>
          <w:szCs w:val="24"/>
        </w:rPr>
      </w:pPr>
      <w:r>
        <w:rPr>
          <w:sz w:val="24"/>
          <w:szCs w:val="24"/>
        </w:rPr>
        <w:t xml:space="preserve">(Processo Administrativo n° 7190/2025)</w:t>
      </w:r>
      <w:r>
        <w:rPr>
          <w:sz w:val="24"/>
          <w:szCs w:val="24"/>
        </w:rPr>
      </w:r>
    </w:p>
    <w:p>
      <w:pPr>
        <w:pStyle w:val="1056"/>
        <w:pBdr/>
        <w:spacing/>
        <w:ind w:firstLine="709"/>
        <w:rPr>
          <w:sz w:val="24"/>
          <w:szCs w:val="24"/>
        </w:rPr>
      </w:pPr>
      <w:r>
        <w:rPr>
          <w:sz w:val="24"/>
          <w:szCs w:val="24"/>
        </w:rPr>
      </w:r>
      <w:r>
        <w:rPr>
          <w:sz w:val="24"/>
          <w:szCs w:val="24"/>
        </w:rPr>
      </w:r>
    </w:p>
    <w:p>
      <w:pPr>
        <w:pStyle w:val="1056"/>
        <w:pBdr/>
        <w:spacing/>
        <w:ind w:firstLine="709"/>
        <w:rPr>
          <w:sz w:val="24"/>
          <w:szCs w:val="24"/>
        </w:rPr>
      </w:pPr>
      <w:r>
        <w:rPr>
          <w:sz w:val="24"/>
          <w:szCs w:val="24"/>
        </w:rPr>
        <w:t xml:space="preserve">Torna-se público, para conhecimento dos interessados, que a Prefeitura Municipal de Rio das Flores, por meio de seu Agente de Contratação designado pela </w:t>
      </w:r>
      <w:r>
        <w:rPr>
          <w:b/>
          <w:sz w:val="24"/>
          <w:szCs w:val="24"/>
        </w:rPr>
        <w:t xml:space="preserve">Portaria nº 187 de janeiro de 2025</w:t>
      </w:r>
      <w:r>
        <w:rPr>
          <w:sz w:val="24"/>
          <w:szCs w:val="24"/>
        </w:rPr>
        <w:t xml:space="preserve">, sediado na Rua Coronel Eurico de Castro, nº 14, Centro, Rio das Flores/RJ, realizará licitação na modalidade PREGÃO, na forma ELETRÔNICA, nos termos da </w:t>
      </w:r>
      <w:hyperlink r:id="rId16" w:tooltip="http://www.planalto.gov.br/ccivil_03/_ato2019-2022/2021/lei/L14133.htm" w:history="1">
        <w:r>
          <w:rPr>
            <w:color w:val="000000"/>
            <w:sz w:val="24"/>
            <w:szCs w:val="24"/>
            <w:u w:val="single"/>
          </w:rPr>
          <w:t xml:space="preserve">Lei nº 14.133, de 1º de abril de 2021</w:t>
        </w:r>
      </w:hyperlink>
      <w:r>
        <w:rPr>
          <w:sz w:val="24"/>
          <w:szCs w:val="24"/>
        </w:rPr>
        <w:t xml:space="preserve">, e demais legislação aplicável e, ainda, de acordo com as condições estabelecidas neste Edital.</w:t>
      </w:r>
      <w:bookmarkStart w:id="0" w:name="bookmark=id.gjdgxs"/>
      <w:r/>
      <w:r>
        <w:rPr>
          <w:sz w:val="24"/>
          <w:szCs w:val="24"/>
        </w:rPr>
      </w:r>
    </w:p>
    <w:p>
      <w:pPr>
        <w:pStyle w:val="1056"/>
        <w:numPr>
          <w:ilvl w:val="0"/>
          <w:numId w:val="12"/>
        </w:numPr>
        <w:pBdr/>
        <w:tabs>
          <w:tab w:val="left" w:leader="none" w:pos="284"/>
          <w:tab w:val="clear" w:leader="none" w:pos="720"/>
        </w:tabs>
        <w:spacing w:after="0" w:before="480"/>
        <w:ind w:firstLine="0" w:left="0"/>
        <w:rPr>
          <w:rFonts w:eastAsia="Arial"/>
          <w:b/>
          <w:color w:val="000000"/>
          <w:sz w:val="24"/>
          <w:szCs w:val="24"/>
          <w:u w:val="single"/>
        </w:rPr>
      </w:pPr>
      <w:r/>
      <w:bookmarkEnd w:id="0"/>
      <w:r>
        <w:rPr>
          <w:rFonts w:eastAsia="Arial"/>
          <w:b/>
          <w:color w:val="000000"/>
          <w:sz w:val="24"/>
          <w:szCs w:val="24"/>
          <w:u w:val="single"/>
        </w:rPr>
        <w:t xml:space="preserve">DO OBJETO:</w:t>
      </w:r>
      <w:r>
        <w:rPr>
          <w:rFonts w:eastAsia="Arial"/>
          <w:b/>
          <w:color w:val="000000"/>
          <w:sz w:val="24"/>
          <w:szCs w:val="24"/>
          <w:u w:val="single"/>
        </w:rPr>
      </w:r>
    </w:p>
    <w:p>
      <w:pPr>
        <w:pStyle w:val="1056"/>
        <w:pBdr/>
        <w:spacing/>
        <w:ind/>
        <w:rPr>
          <w:rFonts w:ascii="Tahoma" w:hAnsi="Tahoma" w:eastAsia="Tahoma" w:cs="Tahoma"/>
          <w:b/>
          <w:sz w:val="24"/>
          <w:szCs w:val="24"/>
          <w:u w:val="single"/>
        </w:rPr>
      </w:pPr>
      <w:r>
        <w:rPr>
          <w:rFonts w:ascii="Tahoma" w:hAnsi="Tahoma" w:eastAsia="Tahoma" w:cs="Tahoma"/>
          <w:b/>
          <w:sz w:val="24"/>
          <w:szCs w:val="24"/>
          <w:u w:val="single"/>
        </w:rPr>
      </w:r>
      <w:r>
        <w:rPr>
          <w:rFonts w:ascii="Tahoma" w:hAnsi="Tahoma" w:eastAsia="Tahoma" w:cs="Tahoma"/>
          <w:b/>
          <w:sz w:val="24"/>
          <w:szCs w:val="24"/>
          <w:u w:val="single"/>
        </w:rPr>
      </w:r>
    </w:p>
    <w:p>
      <w:pPr>
        <w:pStyle w:val="1056"/>
        <w:pBdr/>
        <w:spacing w:after="0" w:before="0" w:line="276" w:lineRule="auto"/>
        <w:ind/>
        <w:rPr>
          <w:rFonts w:eastAsia="Cambria"/>
          <w:b/>
          <w:bCs/>
          <w:color w:val="000000" w:themeColor="text1"/>
          <w:sz w:val="24"/>
          <w:szCs w:val="24"/>
          <w:lang w:eastAsia="pt-BR" w:bidi="ar-SA"/>
          <w14:ligatures w14:val="none"/>
        </w:rPr>
      </w:pPr>
      <w:r>
        <w:rPr>
          <w:rFonts w:eastAsia="Arial"/>
          <w:color w:val="000000"/>
          <w:sz w:val="24"/>
          <w:szCs w:val="24"/>
        </w:rPr>
        <w:t xml:space="preserve">O objeto da presente licitação é a</w:t>
      </w:r>
      <w:r>
        <w:rPr>
          <w:rFonts w:eastAsia="Cambria"/>
          <w:b/>
          <w:bCs/>
          <w:color w:val="000000" w:themeColor="text1"/>
          <w:sz w:val="24"/>
          <w:szCs w:val="24"/>
          <w14:ligatures w14:val="none"/>
        </w:rPr>
        <w:t xml:space="preserve"> </w:t>
      </w:r>
      <w:r>
        <w:rPr>
          <w:rFonts w:eastAsia="Cambria"/>
          <w:b/>
          <w:bCs/>
          <w:color w:val="000000" w:themeColor="text1"/>
          <w:sz w:val="24"/>
          <w:szCs w:val="24"/>
          <w:lang w:val="en-US"/>
        </w:rPr>
        <w:t xml:space="preserve">Futura e Eventual contratação de empresa especializada na prestação de serviços de dedetização incluindo desratização, descupinização, desinsetização, controle de escorpiões e expurgo visando à m</w:t>
      </w:r>
      <w:r>
        <w:rPr>
          <w:rFonts w:eastAsia="Cambria"/>
          <w:b/>
          <w:bCs/>
          <w:color w:val="000000" w:themeColor="text1"/>
          <w:sz w:val="24"/>
          <w:szCs w:val="24"/>
          <w:lang w:val="en-US"/>
        </w:rPr>
        <w:t xml:space="preserve">anutenção dos prédios públicos municipais e atendimento das demandas da Prefeitura, Fundos e demais setores da Administração Pública Municipal de Rio das Flores, por meio de Pregão Eletrônico, no sistema Registro de Preços com validade de 12 (doze) meses. </w:t>
      </w:r>
      <w:r>
        <w:rPr>
          <w:rFonts w:eastAsia="Cambria"/>
          <w:b/>
          <w:bCs/>
          <w:color w:val="000000" w:themeColor="text1"/>
          <w:sz w:val="24"/>
          <w:szCs w:val="24"/>
          <w:lang w:eastAsia="pt-BR" w:bidi="ar-SA"/>
          <w14:ligatures w14:val="none"/>
        </w:rPr>
      </w:r>
    </w:p>
    <w:p>
      <w:pPr>
        <w:pStyle w:val="1056"/>
        <w:pBdr/>
        <w:spacing w:after="0" w:before="0" w:line="276" w:lineRule="auto"/>
        <w:ind/>
        <w:rPr>
          <w:rFonts w:eastAsia="Cambria"/>
          <w:b/>
          <w:bCs/>
          <w:color w:val="000000" w:themeColor="text1"/>
          <w:sz w:val="24"/>
          <w:szCs w:val="24"/>
          <w14:ligatures w14:val="none"/>
        </w:rPr>
      </w:pPr>
      <w:r>
        <w:rPr>
          <w:rFonts w:eastAsia="Cambria"/>
          <w:b/>
          <w:bCs/>
          <w:color w:val="000000" w:themeColor="text1"/>
          <w:sz w:val="24"/>
          <w:szCs w:val="24"/>
          <w14:ligatures w14:val="none"/>
        </w:rPr>
      </w:r>
      <w:r>
        <w:rPr>
          <w:rFonts w:eastAsia="Cambria"/>
          <w:b/>
          <w:bCs/>
          <w:color w:val="000000" w:themeColor="text1"/>
          <w:sz w:val="24"/>
          <w:szCs w:val="24"/>
          <w14:ligatures w14:val="none"/>
        </w:rPr>
      </w:r>
    </w:p>
    <w:p>
      <w:pPr>
        <w:pStyle w:val="1056"/>
        <w:numPr>
          <w:ilvl w:val="1"/>
          <w:numId w:val="5"/>
        </w:numPr>
        <w:pBdr/>
        <w:spacing w:after="0" w:before="0"/>
        <w:ind w:firstLine="0" w:left="0"/>
        <w:rPr>
          <w:rFonts w:eastAsia="Arial"/>
          <w:b/>
          <w:color w:val="000000"/>
          <w:sz w:val="24"/>
          <w:szCs w:val="24"/>
        </w:rPr>
      </w:pPr>
      <w:r>
        <w:rPr>
          <w:rFonts w:eastAsia="Arial"/>
          <w:color w:val="000000"/>
          <w:sz w:val="24"/>
          <w:szCs w:val="24"/>
        </w:rPr>
        <w:t xml:space="preserve">A licitação será por item</w:t>
      </w:r>
      <w:r>
        <w:rPr>
          <w:rFonts w:eastAsia="Arial"/>
          <w:b/>
          <w:color w:val="000000"/>
          <w:sz w:val="24"/>
          <w:szCs w:val="24"/>
        </w:rPr>
        <w:t xml:space="preserve">,</w:t>
      </w:r>
      <w:r>
        <w:rPr>
          <w:rFonts w:eastAsia="Arial"/>
          <w:color w:val="000000"/>
          <w:sz w:val="24"/>
          <w:szCs w:val="24"/>
        </w:rPr>
        <w:t xml:space="preserve"> conforme </w:t>
      </w:r>
      <w:r>
        <w:rPr>
          <w:rFonts w:eastAsia="Arial"/>
          <w:b/>
          <w:color w:val="000000"/>
          <w:sz w:val="24"/>
          <w:szCs w:val="24"/>
        </w:rPr>
        <w:t xml:space="preserve">ANEXO I – TERMO DE REFERÊNCIA.</w:t>
      </w:r>
      <w:r>
        <w:rPr>
          <w:rFonts w:eastAsia="Arial"/>
          <w:b/>
          <w:color w:val="000000"/>
          <w:sz w:val="24"/>
          <w:szCs w:val="24"/>
        </w:rPr>
      </w:r>
    </w:p>
    <w:p>
      <w:pPr>
        <w:pStyle w:val="1056"/>
        <w:numPr>
          <w:ilvl w:val="1"/>
          <w:numId w:val="5"/>
        </w:numPr>
        <w:pBdr/>
        <w:spacing w:after="120" w:before="0"/>
        <w:ind w:firstLine="0" w:left="0"/>
        <w:rPr>
          <w:rFonts w:eastAsia="Arial"/>
          <w:b/>
          <w:color w:val="000000"/>
          <w:sz w:val="24"/>
          <w:szCs w:val="24"/>
        </w:rPr>
      </w:pPr>
      <w:r>
        <w:rPr>
          <w:rFonts w:eastAsia="Arial"/>
          <w:color w:val="000000"/>
          <w:sz w:val="24"/>
          <w:szCs w:val="24"/>
        </w:rPr>
        <w:t xml:space="preserve">O critério de julgamento adotado será o </w:t>
      </w:r>
      <w:r>
        <w:rPr>
          <w:rFonts w:eastAsia="Arial"/>
          <w:b/>
          <w:color w:val="000000"/>
          <w:sz w:val="24"/>
          <w:szCs w:val="24"/>
        </w:rPr>
        <w:t xml:space="preserve">menor preço por item</w:t>
      </w:r>
      <w:r>
        <w:rPr>
          <w:rFonts w:eastAsia="Arial"/>
          <w:color w:val="000000"/>
          <w:sz w:val="24"/>
          <w:szCs w:val="24"/>
        </w:rPr>
        <w:t xml:space="preserve">, observadas as exigências contidas neste Edital e seus Anexos quanto às especificações do objeto.</w:t>
      </w:r>
      <w:bookmarkStart w:id="1" w:name="bookmark=id.30j0zll"/>
      <w:r/>
      <w:bookmarkStart w:id="2" w:name="_heading=h.1fob9te"/>
      <w:r/>
      <w:r>
        <w:rPr>
          <w:rFonts w:eastAsia="Arial"/>
          <w:b/>
          <w:color w:val="000000"/>
          <w:sz w:val="24"/>
          <w:szCs w:val="24"/>
        </w:rPr>
      </w:r>
    </w:p>
    <w:p>
      <w:pPr>
        <w:pStyle w:val="1056"/>
        <w:numPr>
          <w:ilvl w:val="0"/>
          <w:numId w:val="12"/>
        </w:numPr>
        <w:pBdr/>
        <w:tabs>
          <w:tab w:val="left" w:leader="none" w:pos="709"/>
          <w:tab w:val="clear" w:leader="none" w:pos="720"/>
          <w:tab w:val="left" w:leader="none" w:pos="3075"/>
        </w:tabs>
        <w:spacing w:after="240" w:before="360"/>
        <w:ind w:firstLine="0" w:left="0"/>
        <w:rPr>
          <w:rFonts w:eastAsia="Arial"/>
          <w:color w:val="000000"/>
          <w:sz w:val="24"/>
          <w:szCs w:val="24"/>
          <w:u w:val="single"/>
        </w:rPr>
      </w:pPr>
      <w:r/>
      <w:bookmarkEnd w:id="1"/>
      <w:r/>
      <w:bookmarkEnd w:id="2"/>
      <w:r>
        <w:rPr>
          <w:rFonts w:eastAsia="Arial"/>
          <w:b/>
          <w:color w:val="000000"/>
          <w:sz w:val="24"/>
          <w:szCs w:val="24"/>
          <w:u w:val="single"/>
        </w:rPr>
        <w:t xml:space="preserve">DA JUSTIFICATIVA:</w:t>
      </w:r>
      <w:r>
        <w:rPr>
          <w:rFonts w:eastAsia="Arial"/>
          <w:color w:val="000000"/>
          <w:sz w:val="24"/>
          <w:szCs w:val="24"/>
          <w:u w:val="single"/>
        </w:rPr>
      </w:r>
    </w:p>
    <w:p>
      <w:pPr>
        <w:pStyle w:val="1056"/>
        <w:numPr>
          <w:ilvl w:val="1"/>
          <w:numId w:val="8"/>
        </w:numPr>
        <w:pBdr/>
        <w:tabs>
          <w:tab w:val="left" w:leader="none" w:pos="709"/>
          <w:tab w:val="clear" w:leader="none" w:pos="720"/>
          <w:tab w:val="left" w:leader="none" w:pos="3075"/>
        </w:tabs>
        <w:spacing w:after="240" w:before="360"/>
        <w:ind/>
        <w:rPr>
          <w:rFonts w:eastAsia="Arial"/>
          <w:color w:val="000000"/>
          <w:sz w:val="24"/>
          <w:szCs w:val="24"/>
        </w:rPr>
      </w:pPr>
      <w:r/>
      <w:bookmarkStart w:id="3" w:name="_heading=h.3znysh7"/>
      <w:r/>
      <w:bookmarkEnd w:id="3"/>
      <w:r>
        <w:rPr>
          <w:rFonts w:eastAsia="Arial"/>
          <w:b/>
          <w:color w:val="000000"/>
          <w:sz w:val="24"/>
          <w:szCs w:val="24"/>
          <w:u w:val="single"/>
        </w:rPr>
        <w:t xml:space="preserve">DA AQUISIÇÃO</w:t>
      </w:r>
      <w:r>
        <w:rPr>
          <w:rFonts w:eastAsia="Arial"/>
          <w:b/>
          <w:color w:val="000000"/>
          <w:sz w:val="24"/>
          <w:szCs w:val="24"/>
        </w:rPr>
        <w:t xml:space="preserve">:</w:t>
      </w:r>
      <w:r>
        <w:rPr>
          <w:rFonts w:eastAsia="Arial"/>
          <w:color w:val="000000"/>
          <w:sz w:val="24"/>
          <w:szCs w:val="24"/>
        </w:rPr>
      </w:r>
    </w:p>
    <w:p>
      <w:pPr>
        <w:pStyle w:val="1056"/>
        <w:pBdr/>
        <w:tabs>
          <w:tab w:val="left" w:leader="none" w:pos="129"/>
          <w:tab w:val="clear" w:leader="none" w:pos="720"/>
          <w:tab w:val="left" w:leader="none" w:pos="5040"/>
        </w:tabs>
        <w:spacing w:line="360" w:lineRule="auto"/>
        <w:ind w:right="695" w:firstLine="425" w:left="0"/>
        <w:jc w:val="both"/>
        <w:rPr>
          <w:rFonts w:ascii="Arial" w:hAnsi="Arial" w:cs="Arial"/>
          <w:sz w:val="24"/>
          <w:szCs w:val="24"/>
        </w:rPr>
      </w:pPr>
      <w:r>
        <w:rPr>
          <w:b/>
          <w:sz w:val="24"/>
          <w:szCs w:val="24"/>
        </w:rPr>
        <w:t xml:space="preserve">2.1.1.</w:t>
      </w:r>
      <w:r>
        <w:rPr>
          <w:rFonts w:eastAsia="Cambria"/>
          <w:bCs/>
          <w:color w:val="000000"/>
          <w:sz w:val="24"/>
          <w:szCs w:val="24"/>
        </w:rPr>
        <w:t xml:space="preserve"> </w:t>
      </w:r>
      <w:r>
        <w:rPr>
          <w:rFonts w:cs="Arial"/>
          <w:sz w:val="24"/>
          <w:szCs w:val="24"/>
        </w:rPr>
        <w:t xml:space="preserve">A contratação de empresa especia</w:t>
      </w:r>
      <w:r>
        <w:rPr>
          <w:rFonts w:cs="Arial"/>
          <w:sz w:val="24"/>
          <w:szCs w:val="24"/>
        </w:rPr>
        <w:t xml:space="preserve">lizada para a prestação de serviços de dedetização — incluindo desratização, descupinização, desinsetização, controle de escorpiões e expurgo — destinada a atender às demandas das Secretarias, Fundos e demais setores da Prefeitura Municipal de Rio das Flor</w:t>
      </w:r>
      <w:r>
        <w:rPr>
          <w:rFonts w:cs="Arial"/>
          <w:sz w:val="24"/>
          <w:szCs w:val="24"/>
        </w:rPr>
        <w:t xml:space="preserve">es, é medida essencial para assegurar a qualidade, segurança e eficiência na manutenção sanitária dos prédios públicos municipais. Tais serviços são fundamentais para o bom funcionamento das atividades administrativas e para a preservação da saúde pública.</w:t>
      </w:r>
      <w:r>
        <w:rPr>
          <w:rFonts w:ascii="Arial" w:hAnsi="Arial" w:cs="Arial"/>
          <w:sz w:val="24"/>
          <w:szCs w:val="24"/>
        </w:rPr>
      </w:r>
    </w:p>
    <w:p>
      <w:pPr>
        <w:pStyle w:val="1056"/>
        <w:pBdr/>
        <w:tabs>
          <w:tab w:val="left" w:leader="none" w:pos="129"/>
          <w:tab w:val="clear" w:leader="none" w:pos="720"/>
          <w:tab w:val="left" w:leader="none" w:pos="5040"/>
        </w:tabs>
        <w:spacing w:line="360" w:lineRule="auto"/>
        <w:ind w:right="695" w:firstLine="425" w:left="0"/>
        <w:jc w:val="both"/>
        <w:rPr>
          <w:rFonts w:ascii="Arial" w:hAnsi="Arial" w:cs="Arial"/>
          <w:sz w:val="24"/>
          <w:szCs w:val="24"/>
        </w:rPr>
      </w:pPr>
      <w:r>
        <w:rPr>
          <w:rFonts w:cs="Arial"/>
          <w:sz w:val="24"/>
          <w:szCs w:val="24"/>
        </w:rPr>
        <w:t xml:space="preserve">A presente contratação se faz necessária para atender ao disposto na Lei Estadual nº 7.80</w:t>
      </w:r>
      <w:r>
        <w:rPr>
          <w:rFonts w:cs="Arial"/>
          <w:sz w:val="24"/>
          <w:szCs w:val="24"/>
        </w:rPr>
        <w:t xml:space="preserve">6/2017, especialmente em seu Art. 2º, § 2º, que determina que “o serviço de controle de vetores e pragas urbanas somente poderá ser efetuado por empresa especializada e portadora da licença do INEA”, e em seu Art. 6º, inciso II, que define o controle de ve</w:t>
      </w:r>
      <w:r>
        <w:rPr>
          <w:rFonts w:cs="Arial"/>
          <w:sz w:val="24"/>
          <w:szCs w:val="24"/>
        </w:rPr>
        <w:t xml:space="preserve">tores e pragas urbanas como o “conjunto de ações preventivas e corretivas de monitoramento ou aplicação ou ambos, com periodicidade minimamente mensal, visando a impedir de modo integrado que vetores e pragas urbanas se instalem ou reproduzam no ambiente”.</w:t>
      </w:r>
      <w:r>
        <w:rPr>
          <w:rFonts w:ascii="Arial" w:hAnsi="Arial" w:cs="Arial"/>
          <w:sz w:val="24"/>
          <w:szCs w:val="24"/>
        </w:rPr>
      </w:r>
    </w:p>
    <w:p>
      <w:pPr>
        <w:pStyle w:val="1056"/>
        <w:pBdr/>
        <w:tabs>
          <w:tab w:val="left" w:leader="none" w:pos="129"/>
          <w:tab w:val="clear" w:leader="none" w:pos="720"/>
          <w:tab w:val="left" w:leader="none" w:pos="5040"/>
        </w:tabs>
        <w:spacing w:line="360" w:lineRule="auto"/>
        <w:ind w:right="695" w:firstLine="425" w:left="0"/>
        <w:jc w:val="both"/>
        <w:rPr>
          <w:rFonts w:ascii="Arial" w:hAnsi="Arial" w:cs="Arial"/>
          <w:sz w:val="24"/>
          <w:szCs w:val="24"/>
        </w:rPr>
      </w:pPr>
      <w:r>
        <w:rPr>
          <w:rFonts w:cs="Arial"/>
          <w:sz w:val="24"/>
          <w:szCs w:val="24"/>
        </w:rPr>
        <w:t xml:space="preserve">Além do cumprimento legal, a contratação é justificada pela realidade enfrentada no município, especialmente nas unidades da Secretaria Municipal de Educação, situadas em áre</w:t>
      </w:r>
      <w:r>
        <w:rPr>
          <w:rFonts w:cs="Arial"/>
          <w:sz w:val="24"/>
          <w:szCs w:val="24"/>
        </w:rPr>
        <w:t xml:space="preserve">a da Baixada Fluminense, onde há alta incidência de inundações e vulnerabilidade a infestações por diversas pragas urbanas. A ausência desse controle representa risco direto à saúde de alunos, professores, servidores e demais usuários dos prédios públicos.</w:t>
      </w:r>
      <w:r>
        <w:rPr>
          <w:rFonts w:ascii="Arial" w:hAnsi="Arial" w:cs="Arial"/>
          <w:sz w:val="24"/>
          <w:szCs w:val="24"/>
        </w:rPr>
      </w:r>
    </w:p>
    <w:p>
      <w:pPr>
        <w:pStyle w:val="1056"/>
        <w:pBdr/>
        <w:tabs>
          <w:tab w:val="left" w:leader="none" w:pos="129"/>
          <w:tab w:val="clear" w:leader="none" w:pos="720"/>
          <w:tab w:val="left" w:leader="none" w:pos="5040"/>
        </w:tabs>
        <w:spacing w:line="360" w:lineRule="auto"/>
        <w:ind w:right="695" w:firstLine="425" w:left="0"/>
        <w:jc w:val="both"/>
        <w:rPr>
          <w:rFonts w:ascii="Arial" w:hAnsi="Arial" w:cs="Arial"/>
          <w:sz w:val="24"/>
          <w:szCs w:val="24"/>
        </w:rPr>
      </w:pPr>
      <w:r>
        <w:rPr>
          <w:rFonts w:cs="Arial"/>
          <w:sz w:val="24"/>
          <w:szCs w:val="24"/>
        </w:rPr>
        <w:t xml:space="preserve">A execução contínua e adequada desses serviços impacta diretamente na qualidade do ambiente de trabalho e no bem-estar coletivo, </w:t>
      </w:r>
      <w:r>
        <w:rPr>
          <w:rFonts w:cs="Arial"/>
          <w:sz w:val="24"/>
          <w:szCs w:val="24"/>
        </w:rPr>
        <w:t xml:space="preserve">prevenindo a proliferação de doenças e a contaminação dos espaços públicos. Trata-se, portanto, de um item essencial de higiene, saúde pública e segurança sanitária, com implicações diretas no desempenho das atividades públicas e na proteção do patrimônio.</w:t>
      </w:r>
      <w:r>
        <w:rPr>
          <w:rFonts w:ascii="Arial" w:hAnsi="Arial" w:cs="Arial"/>
          <w:sz w:val="24"/>
          <w:szCs w:val="24"/>
        </w:rPr>
      </w:r>
    </w:p>
    <w:p>
      <w:pPr>
        <w:pStyle w:val="1056"/>
        <w:pBdr/>
        <w:tabs>
          <w:tab w:val="left" w:leader="none" w:pos="129"/>
          <w:tab w:val="clear" w:leader="none" w:pos="720"/>
          <w:tab w:val="left" w:leader="none" w:pos="5040"/>
        </w:tabs>
        <w:spacing w:line="360" w:lineRule="auto"/>
        <w:ind w:right="695" w:firstLine="425" w:left="0"/>
        <w:jc w:val="both"/>
        <w:rPr>
          <w:rFonts w:ascii="Arial" w:hAnsi="Arial" w:cs="Arial"/>
          <w:sz w:val="24"/>
          <w:szCs w:val="24"/>
        </w:rPr>
      </w:pPr>
      <w:r>
        <w:rPr>
          <w:rFonts w:cs="Arial"/>
          <w:sz w:val="24"/>
          <w:szCs w:val="24"/>
        </w:rPr>
        <w:t xml:space="preserve">A centralização dessa contratação, por meio do sistema de Registro de Preços, possibilita melhor planejamento, uniformidade na execução dos serviços, maior eficiência na alocação dos recursos públicos, </w:t>
      </w:r>
      <w:r>
        <w:rPr>
          <w:rFonts w:cs="Arial"/>
          <w:sz w:val="24"/>
          <w:szCs w:val="24"/>
        </w:rPr>
        <w:t xml:space="preserve">além de permitir a obtenção de preços mais competitivos. O processo será conduzido via Pregão Eletrônico, com validade de 12 (doze) meses, garantindo agilidade, economicidade e flexibilidade conforme a demanda dos órgãos da Administração Pública Municipal.</w:t>
      </w:r>
      <w:r>
        <w:rPr>
          <w:rFonts w:ascii="Arial" w:hAnsi="Arial" w:cs="Arial"/>
          <w:sz w:val="24"/>
          <w:szCs w:val="24"/>
        </w:rPr>
      </w:r>
    </w:p>
    <w:p>
      <w:pPr>
        <w:pStyle w:val="1056"/>
        <w:pBdr/>
        <w:tabs>
          <w:tab w:val="left" w:leader="none" w:pos="129"/>
          <w:tab w:val="clear" w:leader="none" w:pos="720"/>
          <w:tab w:val="left" w:leader="none" w:pos="5040"/>
        </w:tabs>
        <w:spacing w:line="360" w:lineRule="auto"/>
        <w:ind w:right="695" w:firstLine="425" w:left="0"/>
        <w:jc w:val="both"/>
        <w:rPr>
          <w:rFonts w:ascii="Arial" w:hAnsi="Arial" w:cs="Arial"/>
          <w:sz w:val="24"/>
          <w:szCs w:val="24"/>
        </w:rPr>
      </w:pPr>
      <w:r>
        <w:rPr>
          <w:rFonts w:cs="Arial"/>
          <w:sz w:val="24"/>
          <w:szCs w:val="24"/>
        </w:rPr>
        <w:t xml:space="preserve">Por fim, a presente medida está alinhada aos princípios da legalidade, eficiência, t</w:t>
      </w:r>
      <w:r>
        <w:rPr>
          <w:rFonts w:cs="Arial"/>
          <w:sz w:val="24"/>
          <w:szCs w:val="24"/>
        </w:rPr>
        <w:t xml:space="preserve">ransparência, responsabilidade fiscal e boa governança, conforme previstos na Lei nº 14.133/2021 (Nova Lei de Licitações e Contratos), reforçando o compromisso da Administração Municipal com a gestão pública de qualidade e a prevenção de riscos sanitários.</w:t>
      </w:r>
      <w:r>
        <w:rPr>
          <w:rFonts w:ascii="Arial" w:hAnsi="Arial" w:cs="Arial"/>
          <w:sz w:val="24"/>
          <w:szCs w:val="24"/>
        </w:rPr>
      </w:r>
    </w:p>
    <w:p>
      <w:pPr>
        <w:pStyle w:val="1056"/>
        <w:numPr>
          <w:ilvl w:val="1"/>
          <w:numId w:val="8"/>
        </w:numPr>
        <w:pBdr/>
        <w:tabs>
          <w:tab w:val="left" w:leader="none" w:pos="709"/>
          <w:tab w:val="clear" w:leader="none" w:pos="720"/>
          <w:tab w:val="left" w:leader="none" w:pos="3075"/>
        </w:tabs>
        <w:spacing w:after="240" w:before="360"/>
        <w:ind/>
        <w:rPr>
          <w:rFonts w:eastAsia="Arial"/>
          <w:color w:val="000000"/>
          <w:sz w:val="24"/>
          <w:szCs w:val="24"/>
        </w:rPr>
      </w:pPr>
      <w:r/>
      <w:bookmarkStart w:id="4" w:name="_heading=h.2et92p0"/>
      <w:r/>
      <w:bookmarkEnd w:id="4"/>
      <w:r>
        <w:rPr>
          <w:rFonts w:eastAsia="Arial"/>
          <w:b/>
          <w:color w:val="000000"/>
          <w:sz w:val="24"/>
          <w:szCs w:val="24"/>
          <w:u w:val="single"/>
        </w:rPr>
        <w:t xml:space="preserve">DO QUANTITATIVO</w:t>
      </w:r>
      <w:r>
        <w:rPr>
          <w:rFonts w:eastAsia="Arial"/>
          <w:b/>
          <w:color w:val="000000"/>
          <w:sz w:val="24"/>
          <w:szCs w:val="24"/>
        </w:rPr>
        <w:t xml:space="preserve">:</w:t>
      </w:r>
      <w:r>
        <w:rPr>
          <w:rFonts w:eastAsia="Arial"/>
          <w:color w:val="000000"/>
          <w:sz w:val="24"/>
          <w:szCs w:val="24"/>
        </w:rPr>
      </w:r>
    </w:p>
    <w:p>
      <w:pPr>
        <w:pStyle w:val="1056"/>
        <w:numPr>
          <w:ilvl w:val="2"/>
          <w:numId w:val="8"/>
        </w:numPr>
        <w:pBdr/>
        <w:tabs>
          <w:tab w:val="left" w:leader="none" w:pos="426"/>
          <w:tab w:val="left" w:leader="none" w:pos="709"/>
          <w:tab w:val="clear" w:leader="none" w:pos="720"/>
          <w:tab w:val="left" w:leader="none" w:pos="3075"/>
        </w:tabs>
        <w:spacing w:after="0" w:before="0"/>
        <w:ind w:firstLine="0" w:left="0"/>
        <w:rPr>
          <w:rFonts w:eastAsia="Arial"/>
          <w:color w:val="000000"/>
          <w:sz w:val="24"/>
          <w:szCs w:val="24"/>
        </w:rPr>
      </w:pPr>
      <w:r>
        <w:rPr>
          <w:sz w:val="24"/>
          <w:szCs w:val="24"/>
        </w:rPr>
        <w:t xml:space="preserve">Os quantitativos apurados tiveram como base a necessidade do </w:t>
      </w:r>
      <w:r>
        <w:rPr>
          <w:b/>
          <w:sz w:val="24"/>
          <w:szCs w:val="24"/>
        </w:rPr>
        <w:t xml:space="preserve">ÓRGÃO SOLICITANTE </w:t>
      </w:r>
      <w:r>
        <w:rPr>
          <w:sz w:val="24"/>
          <w:szCs w:val="24"/>
        </w:rPr>
        <w:t xml:space="preserve">em atender a demanda existentes.</w:t>
      </w:r>
      <w:r>
        <w:rPr>
          <w:rFonts w:eastAsia="Arial"/>
          <w:color w:val="000000"/>
          <w:sz w:val="24"/>
          <w:szCs w:val="24"/>
        </w:rPr>
      </w:r>
    </w:p>
    <w:p>
      <w:pPr>
        <w:pStyle w:val="1056"/>
        <w:numPr>
          <w:ilvl w:val="2"/>
          <w:numId w:val="8"/>
        </w:numPr>
        <w:pBdr/>
        <w:tabs>
          <w:tab w:val="left" w:leader="none" w:pos="426"/>
          <w:tab w:val="left" w:leader="none" w:pos="709"/>
          <w:tab w:val="clear" w:leader="none" w:pos="720"/>
          <w:tab w:val="left" w:leader="none" w:pos="3075"/>
        </w:tabs>
        <w:spacing w:after="0" w:before="0"/>
        <w:ind w:firstLine="0" w:left="0"/>
        <w:rPr>
          <w:rFonts w:eastAsia="Arial"/>
          <w:color w:val="000000"/>
          <w:sz w:val="24"/>
          <w:szCs w:val="24"/>
        </w:rPr>
      </w:pPr>
      <w:r>
        <w:rPr>
          <w:rFonts w:eastAsia="Arial"/>
          <w:color w:val="000000"/>
          <w:sz w:val="24"/>
          <w:szCs w:val="24"/>
        </w:rPr>
        <w:t xml:space="preserve">É obrigação da contratada, efetuar a entrega do objeto em perfeitas condições, conforme especificações, prazo e local constantes no edital e seus anexos, acompanhando da respectiva nota fiscal.</w:t>
      </w:r>
      <w:bookmarkStart w:id="5" w:name="bookmark=id.tyjcwt"/>
      <w:r/>
      <w:r>
        <w:rPr>
          <w:rFonts w:eastAsia="Arial"/>
          <w:color w:val="000000"/>
          <w:sz w:val="24"/>
          <w:szCs w:val="24"/>
        </w:rPr>
      </w:r>
    </w:p>
    <w:p>
      <w:pPr>
        <w:pStyle w:val="1056"/>
        <w:numPr>
          <w:ilvl w:val="0"/>
          <w:numId w:val="12"/>
        </w:numPr>
        <w:pBdr/>
        <w:tabs>
          <w:tab w:val="left" w:leader="none" w:pos="567"/>
          <w:tab w:val="clear" w:leader="none" w:pos="720"/>
        </w:tabs>
        <w:spacing/>
        <w:ind/>
        <w:rPr>
          <w:rFonts w:eastAsia="Arial"/>
          <w:color w:val="000000"/>
          <w:sz w:val="24"/>
          <w:szCs w:val="24"/>
          <w:u w:val="single"/>
        </w:rPr>
      </w:pPr>
      <w:r/>
      <w:bookmarkEnd w:id="5"/>
      <w:r>
        <w:rPr>
          <w:rFonts w:eastAsia="Arial"/>
          <w:color w:val="000000"/>
          <w:u w:val="single"/>
        </w:rPr>
        <w:t xml:space="preserve"> </w:t>
      </w:r>
      <w:r>
        <w:rPr>
          <w:rFonts w:eastAsia="Arial"/>
          <w:b/>
          <w:color w:val="000000"/>
          <w:sz w:val="24"/>
          <w:szCs w:val="24"/>
          <w:u w:val="single"/>
        </w:rPr>
        <w:t xml:space="preserve">DA ENTREGA/EXECUÇÃO DO OBJETO DA LICITAÇÃO:</w:t>
      </w:r>
      <w:r>
        <w:rPr>
          <w:rFonts w:eastAsia="Arial"/>
          <w:color w:val="000000"/>
          <w:sz w:val="24"/>
          <w:szCs w:val="24"/>
          <w:u w:val="single"/>
        </w:rPr>
      </w:r>
    </w:p>
    <w:p>
      <w:pPr>
        <w:pStyle w:val="1056"/>
        <w:pBdr/>
        <w:tabs>
          <w:tab w:val="left" w:leader="none" w:pos="567"/>
          <w:tab w:val="clear" w:leader="none" w:pos="720"/>
        </w:tabs>
        <w:spacing/>
        <w:ind w:left="360"/>
        <w:rPr>
          <w:rFonts w:eastAsia="Arial"/>
          <w:color w:val="000000"/>
          <w:sz w:val="24"/>
          <w:szCs w:val="24"/>
          <w:u w:val="single"/>
        </w:rPr>
      </w:pPr>
      <w:r>
        <w:rPr>
          <w:rFonts w:eastAsia="Arial"/>
          <w:color w:val="000000"/>
          <w:sz w:val="24"/>
          <w:szCs w:val="24"/>
          <w:u w:val="single"/>
        </w:rPr>
      </w:r>
      <w:r>
        <w:rPr>
          <w:rFonts w:eastAsia="Arial"/>
          <w:color w:val="000000"/>
          <w:sz w:val="24"/>
          <w:szCs w:val="24"/>
          <w:u w:val="single"/>
        </w:rPr>
      </w:r>
    </w:p>
    <w:p>
      <w:pPr>
        <w:pStyle w:val="1056"/>
        <w:numPr>
          <w:ilvl w:val="1"/>
          <w:numId w:val="14"/>
        </w:numPr>
        <w:pBdr/>
        <w:tabs>
          <w:tab w:val="left" w:leader="none" w:pos="567"/>
          <w:tab w:val="clear" w:leader="none" w:pos="720"/>
        </w:tabs>
        <w:spacing/>
        <w:ind w:firstLine="0" w:left="0"/>
        <w:rPr>
          <w:rFonts w:eastAsia="Arial"/>
          <w:color w:val="000000"/>
          <w:sz w:val="24"/>
          <w:szCs w:val="24"/>
          <w:u w:val="single"/>
        </w:rPr>
      </w:pPr>
      <w:r>
        <w:rPr>
          <w:rFonts w:eastAsia="Arial"/>
          <w:b/>
          <w:color w:val="000000"/>
          <w:sz w:val="24"/>
          <w:szCs w:val="24"/>
          <w:u w:val="single"/>
        </w:rPr>
        <w:t xml:space="preserve">DO PRAZO:</w:t>
      </w:r>
      <w:r>
        <w:rPr>
          <w:rFonts w:eastAsia="Arial"/>
          <w:color w:val="000000"/>
          <w:sz w:val="24"/>
          <w:szCs w:val="24"/>
          <w:u w:val="single"/>
        </w:rPr>
      </w:r>
    </w:p>
    <w:p>
      <w:pPr>
        <w:pStyle w:val="1056"/>
        <w:pBdr/>
        <w:tabs>
          <w:tab w:val="left" w:leader="none" w:pos="567"/>
          <w:tab w:val="clear" w:leader="none" w:pos="720"/>
        </w:tabs>
        <w:spacing/>
        <w:ind/>
        <w:rPr>
          <w:rFonts w:eastAsia="Arial"/>
          <w:color w:val="000000"/>
          <w:sz w:val="24"/>
          <w:szCs w:val="24"/>
          <w:u w:val="single"/>
        </w:rPr>
      </w:pPr>
      <w:r>
        <w:rPr>
          <w:rFonts w:eastAsia="Arial"/>
          <w:color w:val="000000"/>
          <w:sz w:val="24"/>
          <w:szCs w:val="24"/>
          <w:u w:val="single"/>
        </w:rPr>
      </w:r>
      <w:r>
        <w:rPr>
          <w:rFonts w:eastAsia="Arial"/>
          <w:color w:val="000000"/>
          <w:sz w:val="24"/>
          <w:szCs w:val="24"/>
          <w:u w:val="single"/>
        </w:rPr>
      </w:r>
    </w:p>
    <w:p>
      <w:pPr>
        <w:pStyle w:val="1056"/>
        <w:numPr>
          <w:ilvl w:val="2"/>
          <w:numId w:val="14"/>
        </w:numPr>
        <w:pBdr/>
        <w:tabs>
          <w:tab w:val="left" w:leader="none" w:pos="567"/>
          <w:tab w:val="clear" w:leader="none" w:pos="720"/>
        </w:tabs>
        <w:spacing w:after="0" w:before="0"/>
        <w:ind/>
        <w:rPr>
          <w:rFonts w:eastAsia="Arial"/>
          <w:color w:val="000000"/>
          <w:sz w:val="24"/>
          <w:szCs w:val="24"/>
          <w14:ligatures w14:val="none"/>
        </w:rPr>
      </w:pPr>
      <w:r>
        <w:rPr>
          <w:rFonts w:eastAsia="Arial"/>
          <w:color w:val="000000"/>
          <w:sz w:val="24"/>
          <w:szCs w:val="24"/>
          <w:lang w:val="en-US"/>
        </w:rPr>
        <w:t xml:space="preserve">O objeto deverá ser entregue/executado em conformidade com o exigido neste Termo de Referência, no prazo máximo de 30 (trinta) dias, a contar do recebimento da Solicitação de fornecimento e sua respectiva Nota de Empenho, no local</w:t>
      </w:r>
      <w:r>
        <w:rPr>
          <w:rFonts w:eastAsia="Arial"/>
          <w:color w:val="000000"/>
          <w:sz w:val="24"/>
          <w:szCs w:val="24"/>
          <w:lang w:val="en-US"/>
        </w:rPr>
        <w:t xml:space="preserve"> e horário, designados pela SECRETARIA MUNICIPAL DE GOVERNO, exceto nos feriados do Município de Rio das Flôres, do Estado do Rio de Janeiro e Nacional, obedecendo rigorosamente as quantidades e prazos constantes na Nota de Empenho ou em instrumento hábil.</w:t>
      </w:r>
      <w:r>
        <w:rPr>
          <w:rFonts w:eastAsia="Arial"/>
          <w:color w:val="000000"/>
          <w:sz w:val="24"/>
          <w:szCs w:val="24"/>
          <w14:ligatures w14:val="none"/>
        </w:rPr>
      </w:r>
    </w:p>
    <w:p>
      <w:pPr>
        <w:pStyle w:val="1056"/>
        <w:numPr>
          <w:ilvl w:val="1"/>
          <w:numId w:val="14"/>
        </w:numPr>
        <w:pBdr/>
        <w:tabs>
          <w:tab w:val="left" w:leader="none" w:pos="567"/>
          <w:tab w:val="clear" w:leader="none" w:pos="720"/>
        </w:tabs>
        <w:spacing/>
        <w:ind w:firstLine="0" w:left="0"/>
        <w:rPr>
          <w:rFonts w:eastAsia="Arial"/>
          <w:color w:val="000000"/>
          <w:sz w:val="24"/>
          <w:szCs w:val="24"/>
          <w:u w:val="single"/>
        </w:rPr>
      </w:pPr>
      <w:r>
        <w:rPr>
          <w:rFonts w:eastAsia="Arial"/>
          <w:b/>
          <w:color w:val="000000"/>
          <w:sz w:val="24"/>
          <w:szCs w:val="24"/>
          <w:u w:val="single"/>
        </w:rPr>
        <w:t xml:space="preserve">DO LOCAL:</w:t>
      </w:r>
      <w:r>
        <w:rPr>
          <w:rFonts w:eastAsia="Arial"/>
          <w:color w:val="000000"/>
          <w:sz w:val="24"/>
          <w:szCs w:val="24"/>
          <w:u w:val="single"/>
        </w:rPr>
      </w:r>
    </w:p>
    <w:p>
      <w:pPr>
        <w:pStyle w:val="1056"/>
        <w:pBdr/>
        <w:tabs>
          <w:tab w:val="left" w:leader="none" w:pos="567"/>
          <w:tab w:val="clear" w:leader="none" w:pos="720"/>
        </w:tabs>
        <w:spacing/>
        <w:ind/>
        <w:rPr>
          <w:rFonts w:eastAsia="Arial"/>
          <w:color w:val="000000"/>
          <w:sz w:val="24"/>
          <w:szCs w:val="24"/>
          <w:u w:val="single"/>
        </w:rPr>
      </w:pPr>
      <w:r>
        <w:rPr>
          <w:rFonts w:eastAsia="Arial"/>
          <w:color w:val="000000"/>
          <w:sz w:val="24"/>
          <w:szCs w:val="24"/>
          <w:u w:val="single"/>
        </w:rPr>
      </w:r>
      <w:r>
        <w:rPr>
          <w:rFonts w:eastAsia="Arial"/>
          <w:color w:val="000000"/>
          <w:sz w:val="24"/>
          <w:szCs w:val="24"/>
          <w:u w:val="single"/>
        </w:rPr>
      </w:r>
    </w:p>
    <w:p>
      <w:pPr>
        <w:pStyle w:val="1056"/>
        <w:numPr>
          <w:ilvl w:val="2"/>
          <w:numId w:val="14"/>
        </w:numPr>
        <w:pBdr/>
        <w:tabs>
          <w:tab w:val="left" w:leader="none" w:pos="567"/>
          <w:tab w:val="clear" w:leader="none" w:pos="720"/>
        </w:tabs>
        <w:spacing w:after="0" w:before="0"/>
        <w:ind/>
        <w:rPr>
          <w:rFonts w:eastAsia="Arial"/>
          <w:color w:val="000000"/>
          <w:sz w:val="24"/>
          <w:szCs w:val="24"/>
          <w:u w:val="single"/>
        </w:rPr>
      </w:pPr>
      <w:r>
        <w:rPr>
          <w:rFonts w:eastAsia="Arial"/>
          <w:color w:val="000000"/>
          <w:sz w:val="24"/>
          <w:szCs w:val="24"/>
        </w:rPr>
        <w:t xml:space="preserve">Correrá por conta exclusiva do estabelecimento contratado, sem qualquer ônus para a </w:t>
      </w:r>
      <w:r>
        <w:rPr>
          <w:rFonts w:eastAsia="Arial"/>
          <w:b/>
          <w:color w:val="000000"/>
          <w:sz w:val="24"/>
          <w:szCs w:val="24"/>
        </w:rPr>
        <w:t xml:space="preserve">CONTRATANTE</w:t>
      </w:r>
      <w:r>
        <w:rPr>
          <w:rFonts w:eastAsia="Arial"/>
          <w:color w:val="000000"/>
          <w:sz w:val="24"/>
          <w:szCs w:val="24"/>
        </w:rPr>
        <w:t xml:space="preserve">, a entrega/execução do objeto, conforme normas definidas neste contrato os quais serão prestados de acordo com os critérios de oportunidade e conveniência estabelecidos pelo</w:t>
      </w:r>
      <w:r>
        <w:rPr>
          <w:rFonts w:eastAsia="Arial"/>
          <w:b/>
          <w:color w:val="000000"/>
          <w:sz w:val="24"/>
          <w:szCs w:val="24"/>
        </w:rPr>
        <w:t xml:space="preserve"> Órgão Solicitante</w:t>
      </w:r>
      <w:r>
        <w:rPr>
          <w:rFonts w:eastAsia="Arial"/>
          <w:color w:val="000000"/>
          <w:sz w:val="24"/>
          <w:szCs w:val="24"/>
        </w:rPr>
        <w:t xml:space="preserve">, que emitirá prévia autorização, por escrito, para aludida execução.</w:t>
      </w:r>
      <w:r>
        <w:rPr>
          <w:rFonts w:eastAsia="Arial"/>
          <w:color w:val="000000"/>
          <w:sz w:val="24"/>
          <w:szCs w:val="24"/>
          <w:u w:val="single"/>
        </w:rPr>
      </w:r>
    </w:p>
    <w:p>
      <w:pPr>
        <w:pStyle w:val="1056"/>
        <w:pBdr/>
        <w:tabs>
          <w:tab w:val="left" w:leader="none" w:pos="567"/>
          <w:tab w:val="clear" w:leader="none" w:pos="720"/>
        </w:tabs>
        <w:spacing w:after="0" w:before="0"/>
        <w:ind/>
        <w:rPr>
          <w:rFonts w:eastAsia="Arial"/>
          <w:color w:val="000000"/>
          <w:sz w:val="24"/>
          <w:szCs w:val="24"/>
          <w:u w:val="single"/>
        </w:rPr>
      </w:pPr>
      <w:r>
        <w:rPr>
          <w:rFonts w:eastAsia="Arial"/>
          <w:color w:val="000000"/>
          <w:sz w:val="24"/>
          <w:szCs w:val="24"/>
          <w:u w:val="single"/>
        </w:rPr>
      </w:r>
      <w:r>
        <w:rPr>
          <w:rFonts w:eastAsia="Arial"/>
          <w:color w:val="000000"/>
          <w:sz w:val="24"/>
          <w:szCs w:val="24"/>
          <w:u w:val="single"/>
        </w:rPr>
      </w:r>
    </w:p>
    <w:p>
      <w:pPr>
        <w:pStyle w:val="1056"/>
        <w:numPr>
          <w:ilvl w:val="2"/>
          <w:numId w:val="14"/>
        </w:numPr>
        <w:pBdr/>
        <w:tabs>
          <w:tab w:val="left" w:leader="none" w:pos="567"/>
          <w:tab w:val="clear" w:leader="none" w:pos="720"/>
        </w:tabs>
        <w:spacing w:after="0" w:before="0"/>
        <w:ind/>
        <w:rPr>
          <w:rFonts w:eastAsia="Arial"/>
          <w:color w:val="000000"/>
          <w:sz w:val="24"/>
          <w:szCs w:val="24"/>
          <w:u w:val="single"/>
        </w:rPr>
      </w:pPr>
      <w:r>
        <w:rPr>
          <w:rFonts w:eastAsia="Arial"/>
          <w:b/>
          <w:color w:val="000000"/>
          <w:sz w:val="24"/>
          <w:szCs w:val="24"/>
        </w:rPr>
        <w:t xml:space="preserve">O objeto deverá ser entregue em conformidade com Termo de Referência, designados pelo</w:t>
      </w:r>
      <w:r>
        <w:rPr>
          <w:rFonts w:eastAsia="Arial"/>
          <w:color w:val="000000"/>
          <w:sz w:val="24"/>
          <w:szCs w:val="24"/>
        </w:rPr>
        <w:t xml:space="preserve"> </w:t>
      </w:r>
      <w:r>
        <w:rPr>
          <w:rFonts w:eastAsia="Arial"/>
          <w:b/>
          <w:color w:val="000000"/>
          <w:sz w:val="24"/>
          <w:szCs w:val="24"/>
        </w:rPr>
        <w:t xml:space="preserve">Órgão Solicitante, com prioridade no atendimento, tendo em vista o Interesse Público </w:t>
      </w:r>
      <w:r>
        <w:rPr>
          <w:rFonts w:eastAsia="Arial"/>
          <w:color w:val="000000"/>
          <w:sz w:val="24"/>
          <w:szCs w:val="24"/>
        </w:rPr>
        <w:t xml:space="preserve">e obedecer exatamente à especificação constante do </w:t>
      </w:r>
      <w:r>
        <w:rPr>
          <w:rFonts w:eastAsia="Arial"/>
          <w:b/>
          <w:color w:val="000000"/>
          <w:sz w:val="24"/>
          <w:szCs w:val="24"/>
        </w:rPr>
        <w:t xml:space="preserve">TERMO DE REFERÊNCIA (ANEXO I)</w:t>
      </w:r>
      <w:r>
        <w:rPr>
          <w:rFonts w:eastAsia="Arial"/>
          <w:color w:val="000000"/>
          <w:sz w:val="24"/>
          <w:szCs w:val="24"/>
        </w:rPr>
        <w:t xml:space="preserve"> deste PREGÃO ELETRÔNICO e na proposta da licitante vencedora.</w:t>
      </w:r>
      <w:r>
        <w:rPr>
          <w:rFonts w:eastAsia="Arial"/>
          <w:color w:val="000000"/>
          <w:sz w:val="24"/>
          <w:szCs w:val="24"/>
          <w:u w:val="single"/>
        </w:rPr>
      </w:r>
    </w:p>
    <w:p>
      <w:pPr>
        <w:pStyle w:val="1210"/>
        <w:pBdr/>
        <w:spacing w:after="0" w:before="0"/>
        <w:ind/>
        <w:contextualSpacing w:val="true"/>
        <w:rPr>
          <w:rFonts w:eastAsia="Arial"/>
          <w:color w:val="000000"/>
          <w:sz w:val="24"/>
          <w:szCs w:val="24"/>
          <w:u w:val="single"/>
        </w:rPr>
      </w:pPr>
      <w:r>
        <w:rPr>
          <w:rFonts w:eastAsia="Arial"/>
          <w:color w:val="000000"/>
          <w:sz w:val="24"/>
          <w:szCs w:val="24"/>
          <w:u w:val="single"/>
        </w:rPr>
      </w:r>
      <w:r>
        <w:rPr>
          <w:rFonts w:eastAsia="Arial"/>
          <w:color w:val="000000"/>
          <w:sz w:val="24"/>
          <w:szCs w:val="24"/>
          <w:u w:val="single"/>
        </w:rPr>
      </w:r>
    </w:p>
    <w:p>
      <w:pPr>
        <w:pStyle w:val="1056"/>
        <w:numPr>
          <w:ilvl w:val="2"/>
          <w:numId w:val="14"/>
        </w:numPr>
        <w:pBdr/>
        <w:tabs>
          <w:tab w:val="left" w:leader="none" w:pos="567"/>
          <w:tab w:val="clear" w:leader="none" w:pos="720"/>
        </w:tabs>
        <w:spacing w:after="0" w:before="0"/>
        <w:ind/>
        <w:rPr>
          <w:rFonts w:eastAsia="Arial"/>
          <w:color w:val="000000"/>
          <w:sz w:val="24"/>
          <w:szCs w:val="24"/>
          <w:u w:val="single"/>
        </w:rPr>
      </w:pPr>
      <w:r>
        <w:rPr>
          <w:b/>
          <w:sz w:val="24"/>
          <w:szCs w:val="24"/>
        </w:rPr>
        <w:t xml:space="preserve">Não haverá previsão de diferenciação de preços para entregas em locais diferentes.</w:t>
      </w:r>
      <w:r>
        <w:rPr>
          <w:rFonts w:eastAsia="Arial"/>
          <w:color w:val="000000"/>
          <w:sz w:val="24"/>
          <w:szCs w:val="24"/>
          <w:u w:val="single"/>
        </w:rPr>
      </w:r>
    </w:p>
    <w:p>
      <w:pPr>
        <w:pStyle w:val="1056"/>
        <w:numPr>
          <w:ilvl w:val="0"/>
          <w:numId w:val="12"/>
        </w:numPr>
        <w:pBdr/>
        <w:spacing w:after="240" w:before="480"/>
        <w:ind w:firstLine="0" w:left="0"/>
        <w:rPr>
          <w:rFonts w:eastAsia="Arial"/>
          <w:color w:val="000000"/>
          <w:sz w:val="24"/>
          <w:szCs w:val="24"/>
          <w:u w:val="single"/>
        </w:rPr>
      </w:pPr>
      <w:r/>
      <w:bookmarkStart w:id="6" w:name="bookmark=id.3dy6vkm"/>
      <w:r/>
      <w:bookmarkEnd w:id="6"/>
      <w:r>
        <w:rPr>
          <w:rFonts w:eastAsia="Arial"/>
          <w:b/>
          <w:color w:val="000000"/>
          <w:sz w:val="24"/>
          <w:szCs w:val="24"/>
          <w:u w:val="single"/>
        </w:rPr>
        <w:t xml:space="preserve">ACOMPANHAMENTO E FISCALIZAÇÃO:</w:t>
      </w:r>
      <w:r>
        <w:rPr>
          <w:rFonts w:eastAsia="Arial"/>
          <w:color w:val="000000"/>
          <w:sz w:val="24"/>
          <w:szCs w:val="24"/>
          <w:u w:val="single"/>
        </w:rPr>
      </w:r>
    </w:p>
    <w:tbl>
      <w:tblPr>
        <w:jc w:val="center"/>
        <w:tblInd w:w="0" w:type="dxa"/>
        <w:tblW w:w="10154" w:type="dxa"/>
        <w:tblCellMar>
          <w:left w:w="108" w:type="dxa"/>
          <w:top w:w="0" w:type="dxa"/>
          <w:right w:w="108" w:type="dxa"/>
          <w:bottom w:w="0" w:type="dxa"/>
        </w:tblCellMar>
        <w:tblBorders/>
        <w:tblLayout w:type="fixed"/>
        <w:tblLook w:val="0400" w:firstRow="0" w:lastRow="0" w:firstColumn="0" w:lastColumn="0" w:noHBand="0" w:noVBand="1"/>
      </w:tblPr>
      <w:tblGrid>
        <w:gridCol w:w="3510"/>
        <w:gridCol w:w="3510"/>
        <w:gridCol w:w="3134"/>
      </w:tblGrid>
      <w:tr>
        <w:trPr/>
        <w:tc>
          <w:tcPr>
            <w:shd w:val="clear" w:color="ffffff" w:fill="d9d9d9"/>
            <w:tcBorders>
              <w:top w:val="single" w:color="000000" w:sz="4" w:space="0"/>
              <w:left w:val="single" w:color="000000" w:sz="4" w:space="0"/>
              <w:bottom w:val="single" w:color="000000" w:sz="4" w:space="0"/>
              <w:right w:val="single" w:color="000000" w:sz="4" w:space="0"/>
            </w:tcBorders>
            <w:tcW w:w="3510" w:type="dxa"/>
            <w:textDirection w:val="lrTb"/>
            <w:noWrap w:val="false"/>
          </w:tcPr>
          <w:p>
            <w:pPr>
              <w:pStyle w:val="1056"/>
              <w:pBdr/>
              <w:spacing w:after="120" w:before="120" w:line="360" w:lineRule="auto"/>
              <w:ind/>
              <w:jc w:val="center"/>
              <w:rPr>
                <w:color w:val="000000" w:themeColor="text1"/>
                <w:sz w:val="24"/>
                <w:szCs w:val="24"/>
              </w:rPr>
            </w:pPr>
            <w:r>
              <w:rPr>
                <w:rFonts w:cs="Arial"/>
                <w:b/>
                <w:color w:val="000000" w:themeColor="text1"/>
                <w:sz w:val="24"/>
                <w:szCs w:val="24"/>
              </w:rPr>
              <w:t xml:space="preserve">Órgão</w:t>
            </w:r>
            <w:r>
              <w:rPr>
                <w:color w:val="000000" w:themeColor="text1"/>
                <w:sz w:val="24"/>
                <w:szCs w:val="24"/>
              </w:rPr>
            </w:r>
          </w:p>
        </w:tc>
        <w:tc>
          <w:tcPr>
            <w:shd w:val="clear" w:color="ffffff" w:fill="d9d9d9"/>
            <w:tcBorders>
              <w:top w:val="single" w:color="000000" w:sz="4" w:space="0"/>
              <w:left w:val="single" w:color="000000" w:sz="4" w:space="0"/>
              <w:bottom w:val="single" w:color="000000" w:sz="4" w:space="0"/>
              <w:right w:val="single" w:color="000000" w:sz="4" w:space="0"/>
            </w:tcBorders>
            <w:tcW w:w="3510" w:type="dxa"/>
            <w:textDirection w:val="lrTb"/>
            <w:noWrap w:val="false"/>
          </w:tcPr>
          <w:p>
            <w:pPr>
              <w:pStyle w:val="1056"/>
              <w:pBdr/>
              <w:spacing w:after="120" w:before="120" w:line="360" w:lineRule="auto"/>
              <w:ind/>
              <w:jc w:val="center"/>
              <w:rPr>
                <w:color w:val="000000" w:themeColor="text1"/>
                <w:sz w:val="24"/>
                <w:szCs w:val="24"/>
              </w:rPr>
            </w:pPr>
            <w:r>
              <w:rPr>
                <w:rFonts w:cs="Arial"/>
                <w:b/>
                <w:color w:val="000000" w:themeColor="text1"/>
                <w:sz w:val="24"/>
                <w:szCs w:val="24"/>
              </w:rPr>
              <w:t xml:space="preserve">Gestor do Contrato</w:t>
            </w:r>
            <w:r>
              <w:rPr>
                <w:color w:val="000000" w:themeColor="text1"/>
                <w:sz w:val="24"/>
                <w:szCs w:val="24"/>
              </w:rPr>
            </w:r>
          </w:p>
        </w:tc>
        <w:tc>
          <w:tcPr>
            <w:shd w:val="clear" w:color="ffffff" w:fill="d9d9d9"/>
            <w:tcBorders>
              <w:top w:val="single" w:color="000000" w:sz="4" w:space="0"/>
              <w:left w:val="single" w:color="000000" w:sz="4" w:space="0"/>
              <w:bottom w:val="single" w:color="000000" w:sz="4" w:space="0"/>
              <w:right w:val="single" w:color="000000" w:sz="4" w:space="0"/>
            </w:tcBorders>
            <w:tcW w:w="3134" w:type="dxa"/>
            <w:textDirection w:val="lrTb"/>
            <w:noWrap w:val="false"/>
          </w:tcPr>
          <w:p>
            <w:pPr>
              <w:pStyle w:val="1056"/>
              <w:pBdr/>
              <w:spacing w:after="120" w:before="120" w:line="360" w:lineRule="auto"/>
              <w:ind/>
              <w:jc w:val="center"/>
              <w:rPr>
                <w:color w:val="000000" w:themeColor="text1"/>
                <w:sz w:val="24"/>
                <w:szCs w:val="24"/>
              </w:rPr>
            </w:pPr>
            <w:r>
              <w:rPr>
                <w:rFonts w:cs="Arial"/>
                <w:b/>
                <w:color w:val="000000" w:themeColor="text1"/>
                <w:sz w:val="24"/>
                <w:szCs w:val="24"/>
              </w:rPr>
              <w:t xml:space="preserve">Fiscais do Contrato</w:t>
            </w:r>
            <w:r>
              <w:rPr>
                <w:color w:val="000000" w:themeColor="text1"/>
                <w:sz w:val="24"/>
                <w:szCs w:val="24"/>
              </w:rPr>
            </w:r>
          </w:p>
        </w:tc>
      </w:tr>
      <w:tr>
        <w:trPr/>
        <w:tc>
          <w:tcPr>
            <w:tcBorders>
              <w:top w:val="single" w:color="000000" w:sz="4" w:space="0"/>
              <w:left w:val="single" w:color="000000" w:sz="4" w:space="0"/>
              <w:bottom w:val="single" w:color="000000" w:sz="4" w:space="0"/>
              <w:right w:val="single" w:color="000000" w:sz="4" w:space="0"/>
            </w:tcBorders>
            <w:tcW w:w="3510" w:type="dxa"/>
            <w:vAlign w:val="center"/>
            <w:textDirection w:val="lrTb"/>
            <w:noWrap w:val="false"/>
          </w:tcPr>
          <w:p>
            <w:pPr>
              <w:pStyle w:val="1056"/>
              <w:pBdr/>
              <w:spacing w:after="120" w:before="120"/>
              <w:ind/>
              <w:jc w:val="both"/>
              <w:rPr>
                <w:color w:val="000000" w:themeColor="text1"/>
                <w:sz w:val="24"/>
                <w:szCs w:val="24"/>
              </w:rPr>
            </w:pPr>
            <w:r>
              <w:rPr>
                <w:rFonts w:cs="Arial"/>
                <w:color w:val="000000" w:themeColor="text1"/>
                <w:sz w:val="24"/>
                <w:szCs w:val="24"/>
              </w:rPr>
              <w:t xml:space="preserve">Secretaria Municipal de Governo</w:t>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3510" w:type="dxa"/>
            <w:vAlign w:val="center"/>
            <w:textDirection w:val="lrTb"/>
            <w:noWrap w:val="false"/>
          </w:tcPr>
          <w:p>
            <w:pPr>
              <w:pStyle w:val="1056"/>
              <w:widowControl w:val="false"/>
              <w:pBdr/>
              <w:tabs>
                <w:tab w:val="left" w:leader="none" w:pos="704"/>
                <w:tab w:val="clear" w:leader="none" w:pos="720"/>
              </w:tabs>
              <w:spacing w:after="120" w:before="1" w:line="276" w:lineRule="auto"/>
              <w:ind/>
              <w:jc w:val="both"/>
              <w:rPr>
                <w:color w:val="000000" w:themeColor="text1"/>
                <w:sz w:val="24"/>
                <w:szCs w:val="24"/>
              </w:rPr>
            </w:pPr>
            <w:r>
              <w:rPr>
                <w:rFonts w:eastAsia="Arial" w:cs="Arial"/>
                <w:bCs/>
                <w:color w:val="000000" w:themeColor="text1"/>
                <w:sz w:val="24"/>
                <w:szCs w:val="24"/>
              </w:rPr>
              <w:t xml:space="preserve">Mário Vasconcellos Fernandes</w:t>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3134" w:type="dxa"/>
            <w:vAlign w:val="center"/>
            <w:textDirection w:val="lrTb"/>
            <w:noWrap w:val="false"/>
          </w:tcPr>
          <w:p>
            <w:pPr>
              <w:pStyle w:val="1056"/>
              <w:widowControl w:val="false"/>
              <w:pBdr/>
              <w:tabs>
                <w:tab w:val="left" w:leader="none" w:pos="704"/>
                <w:tab w:val="clear" w:leader="none" w:pos="720"/>
              </w:tabs>
              <w:spacing w:after="120" w:before="1" w:line="276" w:lineRule="auto"/>
              <w:ind/>
              <w:jc w:val="both"/>
              <w:rPr>
                <w:color w:val="000000" w:themeColor="text1"/>
                <w:sz w:val="24"/>
                <w:szCs w:val="24"/>
              </w:rPr>
            </w:pPr>
            <w:r>
              <w:rPr>
                <w:rFonts w:cs="Arial"/>
                <w:color w:val="000000" w:themeColor="text1"/>
                <w:sz w:val="24"/>
                <w:szCs w:val="24"/>
              </w:rPr>
              <w:t xml:space="preserve">Fábia Ramires de Souza</w:t>
            </w:r>
            <w:r>
              <w:rPr>
                <w:color w:val="000000" w:themeColor="text1"/>
                <w:sz w:val="24"/>
                <w:szCs w:val="24"/>
              </w:rPr>
            </w:r>
          </w:p>
        </w:tc>
      </w:tr>
    </w:tbl>
    <w:p>
      <w:pPr>
        <w:pStyle w:val="1056"/>
        <w:numPr>
          <w:ilvl w:val="1"/>
          <w:numId w:val="15"/>
        </w:numPr>
        <w:pBdr/>
        <w:tabs>
          <w:tab w:val="left" w:leader="none" w:pos="567"/>
          <w:tab w:val="clear" w:leader="none" w:pos="720"/>
        </w:tabs>
        <w:spacing w:after="240" w:before="480"/>
        <w:ind w:firstLine="0" w:left="0"/>
        <w:rPr>
          <w:rFonts w:eastAsia="Arial"/>
          <w:color w:val="000000"/>
          <w:sz w:val="24"/>
          <w:szCs w:val="24"/>
        </w:rPr>
      </w:pPr>
      <w:r>
        <w:rPr>
          <w:rFonts w:eastAsia="Arial"/>
          <w:color w:val="000000"/>
          <w:sz w:val="24"/>
          <w:szCs w:val="24"/>
        </w:rPr>
        <w:t xml:space="preserve">A execução do contrato deverá ser acompanhada e fiscalizada por 01 (um) ou mais fiscais do contrato, representantes da Administração especialmente designados conforme requisitos estabelecidos no </w:t>
      </w:r>
      <w:r>
        <w:fldChar w:fldCharType="begin"/>
      </w:r>
      <w:r>
        <w:rPr>
          <w:rFonts w:eastAsia="Arial"/>
          <w:color w:val="000000"/>
          <w:sz w:val="24"/>
          <w:szCs w:val="24"/>
          <w:u w:val="single"/>
        </w:rPr>
        <w:instrText xml:space="preserve"> HYPERLINK "https://www.planalto.gov.br/ccivil_03/_ato2019-2022/2021/lei/L14133.htm?origin=instituicao" \l "art7"</w:instrText>
      </w:r>
      <w:r>
        <w:rPr>
          <w:rFonts w:eastAsia="Arial"/>
          <w:color w:val="000000"/>
          <w:sz w:val="24"/>
          <w:szCs w:val="24"/>
          <w:u w:val="single"/>
        </w:rPr>
        <w:fldChar w:fldCharType="separate"/>
      </w:r>
      <w:r>
        <w:rPr>
          <w:rFonts w:eastAsia="Arial"/>
          <w:color w:val="000000"/>
          <w:sz w:val="24"/>
          <w:szCs w:val="24"/>
          <w:u w:val="single"/>
        </w:rPr>
        <w:t xml:space="preserve">art. 7º, Lei</w:t>
      </w:r>
      <w:r>
        <w:rPr>
          <w:rFonts w:eastAsia="Arial"/>
          <w:color w:val="000000"/>
          <w:sz w:val="24"/>
          <w:szCs w:val="24"/>
          <w:u w:val="single"/>
        </w:rPr>
        <w:fldChar w:fldCharType="end"/>
      </w:r>
      <w:r>
        <w:rPr>
          <w:rFonts w:eastAsia="Arial"/>
          <w:color w:val="000000"/>
          <w:sz w:val="24"/>
          <w:szCs w:val="24"/>
          <w:u w:val="single"/>
        </w:rPr>
        <w:t xml:space="preserve"> Federal nº 14.133/2021</w:t>
      </w:r>
      <w:r>
        <w:rPr>
          <w:rFonts w:eastAsia="Arial"/>
          <w:color w:val="000000"/>
          <w:sz w:val="24"/>
          <w:szCs w:val="24"/>
        </w:rPr>
        <w:t xml:space="preserve">, ou pelos respectivos substitutos, permitida a contratação de terceiros para assisti-los e subsidiá-los com informações pertinentes a essa atribuição:</w:t>
      </w:r>
      <w:r>
        <w:rPr>
          <w:rFonts w:eastAsia="Arial"/>
          <w:color w:val="000000"/>
          <w:sz w:val="24"/>
          <w:szCs w:val="24"/>
        </w:rPr>
      </w:r>
    </w:p>
    <w:p>
      <w:pPr>
        <w:pStyle w:val="1056"/>
        <w:numPr>
          <w:ilvl w:val="2"/>
          <w:numId w:val="15"/>
        </w:numPr>
        <w:pBdr/>
        <w:spacing w:after="240" w:before="480"/>
        <w:ind w:firstLine="0" w:left="0"/>
        <w:rPr>
          <w:rFonts w:eastAsia="Arial"/>
          <w:color w:val="000000"/>
          <w:sz w:val="24"/>
          <w:szCs w:val="24"/>
        </w:rPr>
      </w:pPr>
      <w:r>
        <w:rPr>
          <w:sz w:val="24"/>
          <w:szCs w:val="24"/>
        </w:rPr>
        <w:t xml:space="preserve">O acompanhamento e a fiscalização da execução dos serviços serão realizados pelo </w:t>
      </w:r>
      <w:r>
        <w:rPr>
          <w:b/>
          <w:sz w:val="24"/>
          <w:szCs w:val="24"/>
        </w:rPr>
        <w:t xml:space="preserve">Gestor do Contrato</w:t>
      </w:r>
      <w:r>
        <w:rPr>
          <w:sz w:val="24"/>
          <w:szCs w:val="24"/>
        </w:rPr>
        <w:t xml:space="preserve">, que corresponderá a Secretária de cada pasta. Cada Secretário designará um representante da sua secretaria para atuar como </w:t>
      </w:r>
      <w:r>
        <w:rPr>
          <w:b/>
          <w:sz w:val="24"/>
          <w:szCs w:val="24"/>
        </w:rPr>
        <w:t xml:space="preserve">fiscal do contrato</w:t>
      </w:r>
      <w:r>
        <w:rPr>
          <w:sz w:val="24"/>
          <w:szCs w:val="24"/>
        </w:rPr>
        <w:t xml:space="preserve">, garantindo que as entregas estejam em conformidade com as especificações e prazos acordados</w:t>
      </w:r>
      <w:r>
        <w:rPr>
          <w:rFonts w:eastAsia="Arial"/>
          <w:color w:val="000000"/>
          <w:sz w:val="24"/>
          <w:szCs w:val="24"/>
        </w:rPr>
        <w:t xml:space="preserve">;</w:t>
      </w:r>
      <w:r>
        <w:rPr>
          <w:rFonts w:eastAsia="Arial"/>
          <w:color w:val="000000"/>
          <w:sz w:val="24"/>
          <w:szCs w:val="24"/>
        </w:rPr>
      </w:r>
    </w:p>
    <w:p>
      <w:pPr>
        <w:pStyle w:val="1056"/>
        <w:pBdr/>
        <w:spacing/>
        <w:ind/>
        <w:rPr>
          <w:rFonts w:eastAsia="Arial"/>
          <w:color w:val="000000"/>
          <w:sz w:val="24"/>
          <w:szCs w:val="24"/>
          <w:u w:val="single"/>
        </w:rPr>
      </w:pPr>
      <w:r>
        <w:rPr>
          <w:rFonts w:eastAsia="Arial"/>
          <w:color w:val="000000"/>
          <w:sz w:val="24"/>
          <w:szCs w:val="24"/>
        </w:rPr>
        <w:t xml:space="preserve">O(s) mesmo(s) ficará(ão) responsável(is) em atestar no documento fiscal correspondente a entrega do(s) produto(s) na(s) condição(ões) exigida(s). Não serão permitida</w:t>
      </w:r>
      <w:r>
        <w:rPr>
          <w:rFonts w:eastAsia="Arial"/>
          <w:color w:val="000000"/>
          <w:sz w:val="24"/>
          <w:szCs w:val="24"/>
        </w:rPr>
        <w:t xml:space="preserve">s a substituição dos produtos ofertados, que em função de outra especificação, outras marcas, etc. Caso os produtos estejam em desacordo com o solicitado, os mesmos deverão ser substituídos dentro do prazo de fiscalização sem ônus para o órgão solicitante;</w:t>
      </w:r>
      <w:r>
        <w:rPr>
          <w:rFonts w:eastAsia="Arial"/>
          <w:color w:val="000000"/>
          <w:sz w:val="24"/>
          <w:szCs w:val="24"/>
          <w:u w:val="single"/>
        </w:rPr>
      </w:r>
    </w:p>
    <w:p>
      <w:pPr>
        <w:pStyle w:val="1056"/>
        <w:numPr>
          <w:ilvl w:val="1"/>
          <w:numId w:val="15"/>
        </w:numPr>
        <w:pBdr/>
        <w:tabs>
          <w:tab w:val="left" w:leader="none" w:pos="0"/>
          <w:tab w:val="left" w:leader="none" w:pos="567"/>
          <w:tab w:val="left" w:leader="none" w:pos="709"/>
          <w:tab w:val="clear" w:leader="none" w:pos="720"/>
          <w:tab w:val="left" w:leader="none" w:pos="851"/>
        </w:tabs>
        <w:spacing/>
        <w:ind w:firstLine="0" w:left="0"/>
        <w:rPr>
          <w:rFonts w:eastAsia="Arial"/>
          <w:color w:val="000000"/>
          <w:sz w:val="24"/>
          <w:szCs w:val="24"/>
        </w:rPr>
      </w:pPr>
      <w:r>
        <w:rPr>
          <w:rFonts w:eastAsia="Arial"/>
          <w:color w:val="000000"/>
          <w:sz w:val="24"/>
          <w:szCs w:val="24"/>
        </w:rPr>
        <w:t xml:space="preserve">O(s) objeto(s) deverá(ão) estar(em) devidamente embalado(s), indicando a MARCA, constando visivelmente em etiqueta externa a especificação, quantidade e a validade do(s) material(is), </w:t>
      </w:r>
      <w:r>
        <w:rPr>
          <w:rFonts w:eastAsia="Arial"/>
          <w:b/>
          <w:color w:val="000000"/>
          <w:sz w:val="24"/>
          <w:szCs w:val="24"/>
        </w:rPr>
        <w:t xml:space="preserve">quando for o caso</w:t>
      </w:r>
      <w:r>
        <w:rPr>
          <w:rFonts w:eastAsia="Arial"/>
          <w:color w:val="000000"/>
          <w:sz w:val="24"/>
          <w:szCs w:val="24"/>
        </w:rPr>
        <w:t xml:space="preserve">, o que será verificado no ato da entrega;</w:t>
      </w:r>
      <w:r>
        <w:rPr>
          <w:rFonts w:eastAsia="Arial"/>
          <w:color w:val="000000"/>
          <w:sz w:val="24"/>
          <w:szCs w:val="24"/>
        </w:rPr>
      </w:r>
    </w:p>
    <w:p>
      <w:pPr>
        <w:pStyle w:val="1056"/>
        <w:numPr>
          <w:ilvl w:val="1"/>
          <w:numId w:val="15"/>
        </w:numPr>
        <w:pBdr/>
        <w:tabs>
          <w:tab w:val="left" w:leader="none" w:pos="567"/>
          <w:tab w:val="left" w:leader="none" w:pos="709"/>
          <w:tab w:val="clear" w:leader="none" w:pos="720"/>
        </w:tabs>
        <w:spacing/>
        <w:ind w:firstLine="0" w:left="0"/>
        <w:rPr>
          <w:rFonts w:eastAsia="Arial"/>
          <w:color w:val="000000"/>
          <w:sz w:val="24"/>
          <w:szCs w:val="24"/>
        </w:rPr>
      </w:pPr>
      <w:r>
        <w:rPr>
          <w:rFonts w:eastAsia="Arial"/>
          <w:color w:val="000000"/>
          <w:sz w:val="24"/>
          <w:szCs w:val="24"/>
        </w:rPr>
        <w:t xml:space="preserve">O </w:t>
      </w:r>
      <w:r>
        <w:rPr>
          <w:rFonts w:eastAsia="Arial"/>
          <w:color w:val="000000"/>
          <w:sz w:val="24"/>
          <w:szCs w:val="24"/>
        </w:rPr>
        <w:t xml:space="preserve">contratado será obrigado a reparar, corrigir, remover, reconstruir ou substituir, a suas expensas, no total ou em parte, o objeto do contrato em que se verificarem vícios, defeitos ou incorreções resultantes de sua execução ou de materiais nela empregados;</w:t>
      </w:r>
      <w:r>
        <w:rPr>
          <w:rFonts w:eastAsia="Arial"/>
          <w:color w:val="000000"/>
          <w:sz w:val="24"/>
          <w:szCs w:val="24"/>
        </w:rPr>
      </w:r>
    </w:p>
    <w:p>
      <w:pPr>
        <w:pStyle w:val="1056"/>
        <w:numPr>
          <w:ilvl w:val="1"/>
          <w:numId w:val="15"/>
        </w:numPr>
        <w:pBdr/>
        <w:tabs>
          <w:tab w:val="left" w:leader="none" w:pos="567"/>
          <w:tab w:val="clear" w:leader="none" w:pos="720"/>
        </w:tabs>
        <w:spacing/>
        <w:ind w:firstLine="0" w:left="0"/>
        <w:rPr>
          <w:rFonts w:eastAsia="Arial"/>
          <w:color w:val="000000"/>
          <w:sz w:val="24"/>
          <w:szCs w:val="24"/>
        </w:rPr>
      </w:pPr>
      <w:r>
        <w:rPr>
          <w:rFonts w:eastAsia="Arial"/>
          <w:color w:val="000000"/>
          <w:sz w:val="24"/>
          <w:szCs w:val="24"/>
        </w:rPr>
        <w:t xml:space="preserve">A execução dos serviços abrangerá o(s) local(is) indicados, por conta e risco do adjudicatário;</w:t>
      </w:r>
      <w:r>
        <w:rPr>
          <w:rFonts w:eastAsia="Arial"/>
          <w:color w:val="000000"/>
          <w:sz w:val="24"/>
          <w:szCs w:val="24"/>
        </w:rPr>
      </w:r>
    </w:p>
    <w:p>
      <w:pPr>
        <w:pStyle w:val="1056"/>
        <w:numPr>
          <w:ilvl w:val="1"/>
          <w:numId w:val="15"/>
        </w:numPr>
        <w:pBdr/>
        <w:tabs>
          <w:tab w:val="left" w:leader="none" w:pos="567"/>
          <w:tab w:val="clear" w:leader="none" w:pos="720"/>
          <w:tab w:val="left" w:leader="none" w:pos="851"/>
        </w:tabs>
        <w:spacing/>
        <w:ind w:firstLine="0" w:left="0"/>
        <w:rPr>
          <w:rFonts w:eastAsia="Arial"/>
          <w:color w:val="000000"/>
          <w:sz w:val="24"/>
          <w:szCs w:val="24"/>
        </w:rPr>
      </w:pPr>
      <w:r>
        <w:rPr>
          <w:rFonts w:eastAsia="Arial"/>
          <w:color w:val="000000"/>
          <w:sz w:val="24"/>
          <w:szCs w:val="24"/>
        </w:rPr>
        <w:t xml:space="preserve">A recusa de qualquer </w:t>
      </w:r>
      <w:r>
        <w:rPr>
          <w:rFonts w:eastAsia="Arial"/>
          <w:b/>
          <w:color w:val="000000"/>
          <w:sz w:val="24"/>
          <w:szCs w:val="24"/>
          <w:u w:val="single"/>
        </w:rPr>
        <w:t xml:space="preserve">objeto(s) desta licitação</w:t>
      </w:r>
      <w:r>
        <w:rPr>
          <w:rFonts w:eastAsia="Arial"/>
          <w:color w:val="000000"/>
          <w:sz w:val="24"/>
          <w:szCs w:val="24"/>
        </w:rPr>
        <w:t xml:space="preserve"> por</w:t>
      </w:r>
      <w:r>
        <w:rPr>
          <w:rFonts w:eastAsia="Arial"/>
          <w:color w:val="000000"/>
          <w:sz w:val="24"/>
          <w:szCs w:val="24"/>
        </w:rPr>
        <w:t xml:space="preserve"> divergência(s) com a nota de empenho, defeito ou irregularidade, não acarretará suspensão no prazo de entrega, ficando o contratado obrigado à substituição ou reparação no prazo que lhe for estabelecido, sem prejuízo das aplicações e penalidades cabíveis;</w:t>
      </w:r>
      <w:r>
        <w:rPr>
          <w:rFonts w:eastAsia="Arial"/>
          <w:color w:val="000000"/>
          <w:sz w:val="24"/>
          <w:szCs w:val="24"/>
        </w:rPr>
      </w:r>
    </w:p>
    <w:p>
      <w:pPr>
        <w:pStyle w:val="1056"/>
        <w:numPr>
          <w:ilvl w:val="1"/>
          <w:numId w:val="15"/>
        </w:numPr>
        <w:pBdr/>
        <w:tabs>
          <w:tab w:val="left" w:leader="none" w:pos="-142"/>
          <w:tab w:val="left" w:leader="none" w:pos="0"/>
          <w:tab w:val="left" w:leader="none" w:pos="567"/>
          <w:tab w:val="clear" w:leader="none" w:pos="720"/>
        </w:tabs>
        <w:spacing w:after="240" w:before="120"/>
        <w:ind w:firstLine="0" w:left="0"/>
        <w:rPr>
          <w:rFonts w:eastAsia="Arial"/>
          <w:b/>
          <w:color w:val="000000"/>
          <w:sz w:val="24"/>
          <w:szCs w:val="24"/>
          <w:u w:val="single"/>
        </w:rPr>
      </w:pPr>
      <w:r>
        <w:rPr>
          <w:rFonts w:eastAsia="Arial"/>
          <w:color w:val="000000"/>
          <w:sz w:val="24"/>
          <w:szCs w:val="24"/>
        </w:rPr>
        <w:t xml:space="preserve">Poderão ser solicitadas aos licitantes e às entidades de classe, pelo(a) pregoeiro(a) ou pela Comissão de Pregão informações adicionais necessárias, laudos técnicos de análise dos </w:t>
      </w:r>
      <w:r>
        <w:rPr>
          <w:rFonts w:eastAsia="Arial"/>
          <w:b/>
          <w:color w:val="000000"/>
          <w:sz w:val="24"/>
          <w:szCs w:val="24"/>
          <w:u w:val="single"/>
        </w:rPr>
        <w:t xml:space="preserve">objeto(s) desta licitação</w:t>
      </w:r>
      <w:r>
        <w:rPr>
          <w:rFonts w:eastAsia="Arial"/>
          <w:color w:val="000000"/>
          <w:sz w:val="24"/>
          <w:szCs w:val="24"/>
        </w:rPr>
        <w:t xml:space="preserve">, a qualquer tempo e/ou fases do procedimento licitatório, com a finalidade de dirimir dúvidas e instruir as decisões relativas ao julgamento. Se for necessário o cumprimento de quesito específico, o edital deve dispor a respeito.</w:t>
      </w:r>
      <w:r>
        <w:rPr>
          <w:rFonts w:eastAsia="Arial"/>
          <w:b/>
          <w:color w:val="000000"/>
          <w:sz w:val="24"/>
          <w:szCs w:val="24"/>
          <w:u w:val="single"/>
        </w:rPr>
      </w:r>
    </w:p>
    <w:p>
      <w:pPr>
        <w:pStyle w:val="1056"/>
        <w:numPr>
          <w:ilvl w:val="0"/>
          <w:numId w:val="12"/>
        </w:numPr>
        <w:pBdr/>
        <w:spacing w:after="240" w:before="120"/>
        <w:ind w:firstLine="0" w:left="0"/>
        <w:rPr>
          <w:rFonts w:eastAsia="Arial"/>
          <w:b/>
          <w:color w:val="000000"/>
          <w:sz w:val="24"/>
          <w:szCs w:val="24"/>
          <w:u w:val="single"/>
        </w:rPr>
      </w:pPr>
      <w:r>
        <w:rPr>
          <w:rFonts w:eastAsia="Arial"/>
          <w:b/>
          <w:color w:val="000000"/>
          <w:sz w:val="24"/>
          <w:szCs w:val="24"/>
          <w:u w:val="single"/>
        </w:rPr>
        <w:t xml:space="preserve">LOCAL ONDE PODERÁ SER EXAMINADO E ADQUIRIDO O TERMO DE REFERÊNCIA E/OU PROJETO BÁSICO E O EDITAL:</w:t>
      </w:r>
      <w:r>
        <w:rPr>
          <w:rFonts w:eastAsia="Arial"/>
          <w:b/>
          <w:color w:val="000000"/>
          <w:sz w:val="24"/>
          <w:szCs w:val="24"/>
          <w:u w:val="single"/>
        </w:rPr>
      </w:r>
    </w:p>
    <w:p>
      <w:pPr>
        <w:pStyle w:val="1056"/>
        <w:numPr>
          <w:ilvl w:val="1"/>
          <w:numId w:val="16"/>
        </w:numPr>
        <w:pBdr/>
        <w:spacing w:after="240" w:before="120"/>
        <w:ind w:firstLine="0" w:left="0"/>
        <w:rPr>
          <w:rFonts w:eastAsia="Arial"/>
          <w:b/>
          <w:color w:val="000000"/>
          <w:sz w:val="24"/>
          <w:szCs w:val="24"/>
          <w:u w:val="single"/>
        </w:rPr>
      </w:pPr>
      <w:r>
        <w:rPr>
          <w:rFonts w:eastAsia="Arial"/>
          <w:color w:val="000000"/>
          <w:sz w:val="24"/>
          <w:szCs w:val="24"/>
        </w:rPr>
        <w:t xml:space="preserve">O Edital se encontra disponível no endereço eletrônico </w:t>
      </w:r>
      <w:hyperlink r:id="rId17" w:tooltip="http://www.licitacoes.caixa.gov.br/" w:history="1">
        <w:r>
          <w:rPr>
            <w:rFonts w:eastAsia="Arial"/>
            <w:b/>
            <w:color w:val="000000"/>
            <w:sz w:val="24"/>
            <w:szCs w:val="24"/>
            <w:u w:val="single"/>
          </w:rPr>
          <w:t xml:space="preserve">www.comprasgovernamentais.gov.br,</w:t>
        </w:r>
      </w:hyperlink>
      <w:r/>
      <w:hyperlink r:id="rId18" w:tooltip="http://www.licitacoes.caixa.gov.br/" w:history="1">
        <w:r>
          <w:rPr>
            <w:rFonts w:eastAsia="Arial"/>
            <w:b/>
            <w:color w:val="000000"/>
            <w:sz w:val="24"/>
            <w:szCs w:val="24"/>
          </w:rPr>
          <w:t xml:space="preserve"> </w:t>
        </w:r>
      </w:hyperlink>
      <w:r>
        <w:rPr>
          <w:rFonts w:eastAsia="Arial"/>
          <w:color w:val="000000"/>
          <w:sz w:val="24"/>
          <w:szCs w:val="24"/>
        </w:rPr>
        <w:t xml:space="preserve">podendo,</w:t>
      </w:r>
      <w:r>
        <w:rPr>
          <w:rFonts w:eastAsia="Arial"/>
          <w:b/>
          <w:color w:val="000000"/>
          <w:sz w:val="24"/>
          <w:szCs w:val="24"/>
        </w:rPr>
        <w:t xml:space="preserve"> </w:t>
      </w:r>
      <w:r>
        <w:rPr>
          <w:rFonts w:eastAsia="Arial"/>
          <w:color w:val="000000"/>
          <w:sz w:val="24"/>
          <w:szCs w:val="24"/>
        </w:rPr>
        <w:t xml:space="preserve">alternativamente, ser impresso no</w:t>
      </w:r>
      <w:r>
        <w:rPr>
          <w:rFonts w:eastAsia="Arial"/>
          <w:b/>
          <w:color w:val="000000"/>
          <w:sz w:val="24"/>
          <w:szCs w:val="24"/>
        </w:rPr>
        <w:t xml:space="preserve"> </w:t>
      </w:r>
      <w:r>
        <w:rPr>
          <w:rFonts w:eastAsia="Arial"/>
          <w:color w:val="000000"/>
          <w:sz w:val="24"/>
          <w:szCs w:val="24"/>
        </w:rPr>
        <w:t xml:space="preserve">site </w:t>
      </w:r>
      <w:hyperlink r:id="rId19" w:tooltip="http://www.riodasflores.rj.gov.br/" w:history="1">
        <w:r>
          <w:rPr>
            <w:rFonts w:eastAsia="Arial"/>
            <w:b/>
            <w:color w:val="000000"/>
            <w:sz w:val="24"/>
            <w:szCs w:val="24"/>
            <w:u w:val="single"/>
          </w:rPr>
          <w:t xml:space="preserve">www.riodasflores.rj.gov.br</w:t>
        </w:r>
      </w:hyperlink>
      <w:r>
        <w:rPr>
          <w:rFonts w:eastAsia="Arial"/>
          <w:color w:val="000000"/>
        </w:rPr>
        <w:t xml:space="preserve">.</w:t>
      </w:r>
      <w:r>
        <w:rPr>
          <w:rFonts w:eastAsia="Arial"/>
          <w:b/>
          <w:color w:val="000000"/>
          <w:sz w:val="24"/>
          <w:szCs w:val="24"/>
          <w:u w:val="single"/>
        </w:rPr>
      </w:r>
    </w:p>
    <w:p>
      <w:pPr>
        <w:pStyle w:val="1056"/>
        <w:numPr>
          <w:ilvl w:val="1"/>
          <w:numId w:val="16"/>
        </w:numPr>
        <w:pBdr/>
        <w:spacing w:after="240" w:before="120"/>
        <w:ind w:firstLine="0" w:left="0"/>
        <w:rPr>
          <w:rFonts w:eastAsia="Arial"/>
          <w:b/>
          <w:color w:val="000000"/>
          <w:sz w:val="24"/>
          <w:szCs w:val="24"/>
          <w:u w:val="single"/>
        </w:rPr>
      </w:pPr>
      <w:r>
        <w:rPr>
          <w:rFonts w:eastAsia="Arial"/>
          <w:b/>
          <w:color w:val="000000"/>
          <w:sz w:val="24"/>
          <w:szCs w:val="24"/>
        </w:rPr>
        <w:t xml:space="preserve">Via e-mail</w:t>
      </w:r>
      <w:r>
        <w:rPr>
          <w:rFonts w:eastAsia="Arial"/>
          <w:color w:val="000000"/>
          <w:sz w:val="24"/>
          <w:szCs w:val="24"/>
        </w:rPr>
        <w:t xml:space="preserve">: O interessado deverá dirigir-se ao setor responsável através do e-mail </w:t>
      </w:r>
      <w:hyperlink r:id="rId20" w:tooltip="mailto:secadministracao@riodasflores.rj.gov.br" w:history="1">
        <w:r>
          <w:rPr>
            <w:rFonts w:eastAsia="Arial"/>
            <w:b/>
            <w:color w:val="000000"/>
            <w:sz w:val="24"/>
            <w:szCs w:val="24"/>
            <w:u w:val="single"/>
          </w:rPr>
          <w:t xml:space="preserve">licitacao@riodasflores.rj.gov.br</w:t>
        </w:r>
      </w:hyperlink>
      <w:r>
        <w:rPr>
          <w:rFonts w:eastAsia="Arial"/>
          <w:color w:val="000000"/>
          <w:sz w:val="24"/>
          <w:szCs w:val="24"/>
        </w:rPr>
        <w:t xml:space="preserve">, o e-mail será enviado em até 72 horas.</w:t>
      </w:r>
      <w:r>
        <w:rPr>
          <w:rFonts w:eastAsia="Arial"/>
          <w:b/>
          <w:color w:val="000000"/>
          <w:sz w:val="24"/>
          <w:szCs w:val="24"/>
          <w:u w:val="single"/>
        </w:rPr>
      </w:r>
    </w:p>
    <w:p>
      <w:pPr>
        <w:pStyle w:val="1056"/>
        <w:numPr>
          <w:ilvl w:val="1"/>
          <w:numId w:val="16"/>
        </w:numPr>
        <w:pBdr/>
        <w:spacing w:after="240" w:before="120"/>
        <w:ind w:firstLine="0" w:left="0"/>
        <w:rPr>
          <w:rFonts w:eastAsia="Arial"/>
          <w:b/>
          <w:color w:val="000000"/>
          <w:sz w:val="24"/>
          <w:szCs w:val="24"/>
          <w:u w:val="single"/>
        </w:rPr>
      </w:pPr>
      <w:r>
        <w:rPr>
          <w:rFonts w:eastAsia="Arial"/>
          <w:b/>
          <w:color w:val="000000"/>
          <w:sz w:val="24"/>
          <w:szCs w:val="24"/>
        </w:rPr>
        <w:t xml:space="preserve">Pessoalmente</w:t>
      </w:r>
      <w:r>
        <w:rPr>
          <w:rFonts w:eastAsia="Arial"/>
          <w:color w:val="000000"/>
          <w:sz w:val="24"/>
          <w:szCs w:val="24"/>
        </w:rPr>
        <w:t xml:space="preserve">: O interessado fará o pedido pessoalmente no Setor de Licitações da Prefeitura</w:t>
      </w:r>
      <w:r>
        <w:rPr>
          <w:rFonts w:eastAsia="Arial"/>
          <w:color w:val="000000"/>
          <w:sz w:val="24"/>
          <w:szCs w:val="24"/>
        </w:rPr>
        <w:t xml:space="preserve"> Municipal de Rio das Flôres e deverá fornecer uma resma de papel A4, caso queira o edital impresso, apresentando cópia do comprovante de inscrição e de situação cadastral (CNPJ) emitida pela Secretaria de Receita Federal, para obtenção do Edital impresso.</w:t>
      </w:r>
      <w:r>
        <w:rPr>
          <w:rFonts w:eastAsia="Arial"/>
          <w:b/>
          <w:color w:val="000000"/>
          <w:sz w:val="24"/>
          <w:szCs w:val="24"/>
          <w:u w:val="single"/>
        </w:rPr>
      </w:r>
    </w:p>
    <w:p>
      <w:pPr>
        <w:pStyle w:val="1056"/>
        <w:numPr>
          <w:ilvl w:val="0"/>
          <w:numId w:val="12"/>
        </w:numPr>
        <w:pBdr/>
        <w:spacing w:after="240" w:before="120"/>
        <w:ind w:firstLine="0" w:left="0"/>
        <w:rPr>
          <w:rFonts w:eastAsia="Arial"/>
          <w:b/>
          <w:color w:val="000000"/>
          <w:sz w:val="24"/>
          <w:szCs w:val="24"/>
          <w:u w:val="single"/>
        </w:rPr>
      </w:pPr>
      <w:r/>
      <w:bookmarkStart w:id="7" w:name="bookmark=id.2s8eyo1"/>
      <w:r/>
      <w:bookmarkStart w:id="8" w:name="_heading=h.4d34og8"/>
      <w:r/>
      <w:bookmarkEnd w:id="7"/>
      <w:r/>
      <w:bookmarkEnd w:id="8"/>
      <w:r>
        <w:rPr>
          <w:rFonts w:eastAsia="Arial"/>
          <w:b/>
          <w:color w:val="000000"/>
          <w:sz w:val="24"/>
          <w:szCs w:val="24"/>
          <w:u w:val="single"/>
        </w:rPr>
        <w:t xml:space="preserve">DA PARTICIPAÇÃO NA LICITAÇÃO:</w:t>
      </w:r>
      <w:r>
        <w:rPr>
          <w:rFonts w:eastAsia="Arial"/>
          <w:b/>
          <w:color w:val="000000"/>
          <w:sz w:val="24"/>
          <w:szCs w:val="24"/>
          <w:u w:val="single"/>
        </w:rPr>
      </w:r>
    </w:p>
    <w:p>
      <w:pPr>
        <w:pStyle w:val="1056"/>
        <w:numPr>
          <w:ilvl w:val="1"/>
          <w:numId w:val="17"/>
        </w:numPr>
        <w:pBdr/>
        <w:spacing w:after="240" w:before="120"/>
        <w:ind w:firstLine="0" w:left="0"/>
        <w:rPr>
          <w:rFonts w:eastAsia="Arial"/>
          <w:b/>
          <w:color w:val="000000"/>
          <w:sz w:val="24"/>
          <w:szCs w:val="24"/>
          <w:u w:val="single"/>
        </w:rPr>
      </w:pPr>
      <w:r>
        <w:rPr>
          <w:rFonts w:eastAsia="Arial"/>
          <w:color w:val="000000"/>
          <w:sz w:val="24"/>
          <w:szCs w:val="24"/>
        </w:rPr>
        <w:t xml:space="preserve">Poderão participar deste Pregão os interessados que estiverem previamente credenciados no Sistema de Cadastramento Unificado de Fornecedores - SICAF e no Sistema de Compras do Governo Federal (</w:t>
      </w:r>
      <w:hyperlink r:id="rId21" w:tooltip="http://www.gov.br/compras" w:history="1">
        <w:r>
          <w:rPr>
            <w:rFonts w:eastAsia="Arial"/>
            <w:color w:val="000000"/>
            <w:sz w:val="24"/>
            <w:szCs w:val="24"/>
          </w:rPr>
          <w:t xml:space="preserve">www.gov.br/compras</w:t>
        </w:r>
      </w:hyperlink>
      <w:r>
        <w:rPr>
          <w:rFonts w:eastAsia="Arial"/>
          <w:color w:val="000000"/>
          <w:sz w:val="24"/>
          <w:szCs w:val="24"/>
        </w:rPr>
        <w:t xml:space="preserve">).</w:t>
      </w:r>
      <w:r>
        <w:rPr>
          <w:rFonts w:eastAsia="Arial"/>
          <w:b/>
          <w:color w:val="000000"/>
          <w:sz w:val="24"/>
          <w:szCs w:val="24"/>
          <w:u w:val="single"/>
        </w:rPr>
      </w:r>
    </w:p>
    <w:p>
      <w:pPr>
        <w:pStyle w:val="1056"/>
        <w:numPr>
          <w:ilvl w:val="2"/>
          <w:numId w:val="17"/>
        </w:numPr>
        <w:pBdr/>
        <w:spacing w:after="240" w:before="120"/>
        <w:ind w:firstLine="0" w:left="0"/>
        <w:rPr>
          <w:rFonts w:eastAsia="Arial"/>
          <w:b/>
          <w:color w:val="000000"/>
          <w:sz w:val="24"/>
          <w:szCs w:val="24"/>
          <w:u w:val="single"/>
        </w:rPr>
      </w:pPr>
      <w:r>
        <w:rPr>
          <w:rFonts w:eastAsia="Arial"/>
          <w:color w:val="000000"/>
          <w:sz w:val="24"/>
          <w:szCs w:val="24"/>
        </w:rPr>
        <w:t xml:space="preserve">Os interessados deverão atender às condições exigidas no cadastramento no Sicaf até o terceiro dia útil anterior à data prevista para recebimento das propostas.</w:t>
      </w:r>
      <w:r>
        <w:rPr>
          <w:rFonts w:eastAsia="Arial"/>
          <w:b/>
          <w:color w:val="000000"/>
          <w:sz w:val="24"/>
          <w:szCs w:val="24"/>
          <w:u w:val="single"/>
        </w:rPr>
      </w:r>
    </w:p>
    <w:p>
      <w:pPr>
        <w:pStyle w:val="1056"/>
        <w:numPr>
          <w:ilvl w:val="1"/>
          <w:numId w:val="17"/>
        </w:numPr>
        <w:pBdr/>
        <w:spacing w:after="240" w:before="120"/>
        <w:ind w:firstLine="0" w:left="0"/>
        <w:rPr>
          <w:rFonts w:eastAsia="Arial"/>
          <w:b/>
          <w:color w:val="000000"/>
          <w:sz w:val="24"/>
          <w:szCs w:val="24"/>
          <w:u w:val="single"/>
        </w:rPr>
      </w:pPr>
      <w:r>
        <w:rPr>
          <w:rFonts w:eastAsia="Arial"/>
          <w:color w:val="000000"/>
          <w:sz w:val="24"/>
          <w:szCs w:val="24"/>
        </w:rPr>
        <w:t xml:space="preserve">O licitante responsabiliza-se exclusiva e formalmente pelas transações efetuadas em seu nome, assume como firmes e verdadeiras suas propostas e seus lances, inclusiv</w:t>
      </w:r>
      <w:r>
        <w:rPr>
          <w:rFonts w:eastAsia="Arial"/>
          <w:color w:val="000000"/>
          <w:sz w:val="24"/>
          <w:szCs w:val="24"/>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eastAsia="Arial"/>
          <w:b/>
          <w:color w:val="000000"/>
          <w:sz w:val="24"/>
          <w:szCs w:val="24"/>
          <w:u w:val="single"/>
        </w:rPr>
      </w:r>
    </w:p>
    <w:p>
      <w:pPr>
        <w:pStyle w:val="1056"/>
        <w:numPr>
          <w:ilvl w:val="1"/>
          <w:numId w:val="17"/>
        </w:numPr>
        <w:pBdr/>
        <w:spacing w:after="240" w:before="120"/>
        <w:ind w:firstLine="0" w:left="0"/>
        <w:rPr>
          <w:rFonts w:eastAsia="Arial"/>
          <w:b/>
          <w:color w:val="000000"/>
          <w:sz w:val="24"/>
          <w:szCs w:val="24"/>
          <w:u w:val="single"/>
        </w:rPr>
      </w:pPr>
      <w:r>
        <w:rPr>
          <w:rFonts w:eastAsia="Arial"/>
          <w:color w:val="000000"/>
          <w:sz w:val="24"/>
          <w:szCs w:val="24"/>
        </w:rPr>
        <w:t xml:space="preserve">É de responsabilidade do cadastrado conferir a exatidão dos seus dados cadastrais</w:t>
      </w:r>
      <w:r>
        <w:rPr>
          <w:rFonts w:eastAsia="Arial"/>
          <w:color w:val="000000"/>
          <w:sz w:val="24"/>
          <w:szCs w:val="24"/>
        </w:rPr>
        <w:t xml:space="preserve"> nos Sistemas relacionados no item anterior e mantê-los atualizados junto aos órgãos responsáveis pela informação, devendo proceder, imediatamente, à correção ou à alteração dos registros tão logo identifique incorreção ou aqueles se tornem desatualizados.</w:t>
      </w:r>
      <w:r>
        <w:rPr>
          <w:rFonts w:eastAsia="Arial"/>
          <w:b/>
          <w:color w:val="000000"/>
          <w:sz w:val="24"/>
          <w:szCs w:val="24"/>
          <w:u w:val="single"/>
        </w:rPr>
      </w:r>
    </w:p>
    <w:p>
      <w:pPr>
        <w:pStyle w:val="1056"/>
        <w:numPr>
          <w:ilvl w:val="1"/>
          <w:numId w:val="17"/>
        </w:numPr>
        <w:pBdr/>
        <w:spacing w:after="240" w:before="120"/>
        <w:ind w:firstLine="0" w:left="0"/>
        <w:rPr>
          <w:rFonts w:eastAsia="Arial"/>
          <w:b/>
          <w:color w:val="000000"/>
          <w:sz w:val="24"/>
          <w:szCs w:val="24"/>
          <w:u w:val="single"/>
        </w:rPr>
      </w:pPr>
      <w:r>
        <w:rPr>
          <w:rFonts w:eastAsia="Arial"/>
          <w:color w:val="000000"/>
          <w:sz w:val="24"/>
          <w:szCs w:val="24"/>
        </w:rPr>
        <w:t xml:space="preserve">A não observância do disposto no item anterior poderá ensejar desclassificação no momento da habilitação.</w:t>
      </w:r>
      <w:r>
        <w:rPr>
          <w:rFonts w:eastAsia="Arial"/>
          <w:b/>
          <w:color w:val="000000"/>
          <w:sz w:val="24"/>
          <w:szCs w:val="24"/>
          <w:u w:val="single"/>
        </w:rPr>
      </w:r>
    </w:p>
    <w:p>
      <w:pPr>
        <w:pStyle w:val="1056"/>
        <w:numPr>
          <w:ilvl w:val="1"/>
          <w:numId w:val="17"/>
        </w:numPr>
        <w:pBdr/>
        <w:spacing w:after="240" w:before="120"/>
        <w:ind w:firstLine="0" w:left="0"/>
        <w:rPr>
          <w:rFonts w:eastAsia="Arial"/>
          <w:b/>
          <w:color w:val="000000"/>
          <w:sz w:val="24"/>
          <w:szCs w:val="24"/>
          <w:u w:val="single"/>
        </w:rPr>
      </w:pPr>
      <w:r/>
      <w:bookmarkStart w:id="9" w:name="_heading=h.17dp8vu"/>
      <w:r/>
      <w:bookmarkEnd w:id="9"/>
      <w:r>
        <w:rPr>
          <w:rFonts w:eastAsia="Arial"/>
          <w:color w:val="000000"/>
          <w:sz w:val="24"/>
          <w:szCs w:val="24"/>
        </w:rPr>
        <w:t xml:space="preserve">A obtenção do benefício a que se refere o item anterior fica limitada às microempresas e às empresas</w:t>
      </w:r>
      <w:r>
        <w:rPr>
          <w:rFonts w:eastAsia="Arial"/>
          <w:color w:val="000000"/>
          <w:sz w:val="24"/>
          <w:szCs w:val="24"/>
        </w:rPr>
        <w:t xml:space="preserve"> 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eastAsia="Arial"/>
          <w:b/>
          <w:color w:val="000000"/>
          <w:sz w:val="24"/>
          <w:szCs w:val="24"/>
          <w:u w:val="single"/>
        </w:rPr>
      </w:r>
    </w:p>
    <w:p>
      <w:pPr>
        <w:pStyle w:val="1056"/>
        <w:numPr>
          <w:ilvl w:val="1"/>
          <w:numId w:val="17"/>
        </w:numPr>
        <w:pBdr/>
        <w:spacing w:after="240" w:before="120"/>
        <w:ind w:firstLine="0" w:left="0"/>
        <w:rPr>
          <w:rFonts w:eastAsia="Arial"/>
          <w:b/>
          <w:color w:val="000000"/>
          <w:sz w:val="24"/>
          <w:szCs w:val="24"/>
          <w:u w:val="single"/>
        </w:rPr>
      </w:pPr>
      <w:r/>
      <w:bookmarkStart w:id="10" w:name="_heading=h.3rdcrjn"/>
      <w:r/>
      <w:bookmarkEnd w:id="10"/>
      <w:r>
        <w:rPr>
          <w:rFonts w:eastAsia="Arial"/>
          <w:color w:val="000000"/>
          <w:sz w:val="24"/>
          <w:szCs w:val="24"/>
        </w:rPr>
        <w:t xml:space="preserve">Será concedido tratamento favorecido para as microempresas e empresas de pequeno porte, para as sociedades cooperativas mencionadas no </w:t>
      </w:r>
      <w:r>
        <w:fldChar w:fldCharType="begin"/>
      </w:r>
      <w:r>
        <w:rPr>
          <w:rFonts w:eastAsia="Arial"/>
          <w:color w:val="000000"/>
          <w:sz w:val="24"/>
          <w:szCs w:val="24"/>
          <w:u w:val="single"/>
        </w:rPr>
        <w:instrText xml:space="preserve"> HYPERLINK "http://www.planalto.gov.br/ccivil_03/_ato2019-2022/2021/lei/L14133.htm" \l "art16"</w:instrText>
      </w:r>
      <w:r>
        <w:rPr>
          <w:rFonts w:eastAsia="Arial"/>
          <w:color w:val="000000"/>
          <w:sz w:val="24"/>
          <w:szCs w:val="24"/>
          <w:u w:val="single"/>
        </w:rPr>
        <w:fldChar w:fldCharType="separate"/>
      </w:r>
      <w:r>
        <w:rPr>
          <w:rFonts w:eastAsia="Arial"/>
          <w:color w:val="000000"/>
          <w:sz w:val="24"/>
          <w:szCs w:val="24"/>
          <w:u w:val="single"/>
        </w:rPr>
        <w:t xml:space="preserve">artigo 16 da Lei nº 14.133, de 2021</w:t>
      </w:r>
      <w:r>
        <w:rPr>
          <w:rFonts w:eastAsia="Arial"/>
          <w:color w:val="000000"/>
          <w:sz w:val="24"/>
          <w:szCs w:val="24"/>
          <w:u w:val="single"/>
        </w:rPr>
        <w:fldChar w:fldCharType="end"/>
      </w:r>
      <w:r>
        <w:rPr>
          <w:rFonts w:eastAsia="Arial"/>
          <w:color w:val="000000"/>
          <w:sz w:val="24"/>
          <w:szCs w:val="24"/>
        </w:rPr>
        <w:t xml:space="preserve">, para o agricultor familiar, o produtor rural pessoa física e para o microempreendedor individual - MEI, nos limites previstos da </w:t>
      </w:r>
      <w:hyperlink r:id="rId22" w:tooltip="https://www.planalto.gov.br/ccivil_03/leis/lcp/lcp123.htm" w:history="1">
        <w:r>
          <w:rPr>
            <w:rFonts w:eastAsia="Arial"/>
            <w:color w:val="000000"/>
            <w:sz w:val="24"/>
            <w:szCs w:val="24"/>
            <w:u w:val="single"/>
          </w:rPr>
          <w:t xml:space="preserve">Lei Complementar nº 123, de 2006</w:t>
        </w:r>
      </w:hyperlink>
      <w:r>
        <w:rPr>
          <w:rFonts w:eastAsia="Arial"/>
          <w:color w:val="000000"/>
          <w:sz w:val="24"/>
          <w:szCs w:val="24"/>
        </w:rPr>
        <w:t xml:space="preserve"> e do Decreto n.º 8.538, de 2015.</w:t>
      </w:r>
      <w:r>
        <w:rPr>
          <w:rFonts w:eastAsia="Arial"/>
          <w:b/>
          <w:color w:val="000000"/>
          <w:sz w:val="24"/>
          <w:szCs w:val="24"/>
          <w:u w:val="single"/>
        </w:rPr>
      </w:r>
    </w:p>
    <w:p>
      <w:pPr>
        <w:pStyle w:val="1056"/>
        <w:numPr>
          <w:ilvl w:val="1"/>
          <w:numId w:val="17"/>
        </w:numPr>
        <w:pBdr/>
        <w:spacing w:after="240" w:before="120"/>
        <w:ind w:firstLine="0" w:left="0"/>
        <w:rPr>
          <w:rFonts w:eastAsia="Arial"/>
          <w:b/>
          <w:color w:val="000000"/>
          <w:sz w:val="24"/>
          <w:szCs w:val="24"/>
          <w:u w:val="single"/>
        </w:rPr>
      </w:pPr>
      <w:r/>
      <w:bookmarkStart w:id="11" w:name="_heading=h.26in1rg"/>
      <w:r/>
      <w:bookmarkEnd w:id="11"/>
      <w:r>
        <w:rPr>
          <w:rFonts w:eastAsia="Arial"/>
          <w:b/>
          <w:color w:val="000000"/>
          <w:sz w:val="24"/>
          <w:szCs w:val="24"/>
          <w:u w:val="single"/>
        </w:rPr>
        <w:t xml:space="preserve">NÃO PODERÃO DISPUTAR ESTA LICITAÇÃO:</w:t>
      </w:r>
      <w:r>
        <w:rPr>
          <w:rFonts w:eastAsia="Arial"/>
          <w:b/>
          <w:color w:val="000000"/>
          <w:sz w:val="24"/>
          <w:szCs w:val="24"/>
          <w:u w:val="single"/>
        </w:rPr>
      </w:r>
    </w:p>
    <w:p>
      <w:pPr>
        <w:pStyle w:val="1056"/>
        <w:numPr>
          <w:ilvl w:val="2"/>
          <w:numId w:val="17"/>
        </w:numPr>
        <w:pBdr/>
        <w:spacing w:after="240" w:before="120"/>
        <w:ind w:firstLine="0" w:left="0"/>
        <w:rPr>
          <w:rFonts w:eastAsia="Arial"/>
          <w:b/>
          <w:color w:val="000000"/>
          <w:sz w:val="24"/>
          <w:szCs w:val="24"/>
          <w:u w:val="single"/>
        </w:rPr>
      </w:pPr>
      <w:r/>
      <w:bookmarkStart w:id="12" w:name="_heading=h.lnxbz9"/>
      <w:r/>
      <w:bookmarkEnd w:id="12"/>
      <w:r>
        <w:rPr>
          <w:rFonts w:eastAsia="Arial"/>
          <w:color w:val="000000"/>
          <w:sz w:val="24"/>
          <w:szCs w:val="24"/>
        </w:rPr>
        <w:t xml:space="preserve">aquele que não atenda às condições deste Edital e seu(s) anexo(s);</w:t>
      </w:r>
      <w:r>
        <w:rPr>
          <w:rFonts w:eastAsia="Arial"/>
          <w:b/>
          <w:color w:val="000000"/>
          <w:sz w:val="24"/>
          <w:szCs w:val="24"/>
          <w:u w:val="single"/>
        </w:rPr>
      </w:r>
    </w:p>
    <w:p>
      <w:pPr>
        <w:pStyle w:val="1056"/>
        <w:numPr>
          <w:ilvl w:val="2"/>
          <w:numId w:val="17"/>
        </w:numPr>
        <w:pBdr/>
        <w:spacing w:after="240" w:before="120"/>
        <w:ind w:firstLine="0" w:left="0"/>
        <w:rPr>
          <w:rFonts w:eastAsia="Arial"/>
          <w:b/>
          <w:color w:val="000000"/>
          <w:sz w:val="24"/>
          <w:szCs w:val="24"/>
          <w:u w:val="single"/>
        </w:rPr>
      </w:pPr>
      <w:r/>
      <w:bookmarkStart w:id="13" w:name="_heading=h.35nkun2"/>
      <w:r/>
      <w:bookmarkEnd w:id="13"/>
      <w:r>
        <w:rPr>
          <w:rFonts w:eastAsia="Arial"/>
          <w:color w:val="000000"/>
          <w:sz w:val="24"/>
          <w:szCs w:val="24"/>
        </w:rPr>
        <w:t xml:space="preserve">autor do anteprojeto, do projeto básico ou do projeto executivo, pessoa física ou jurídica, quando a licitação versar sobre serviços ou fornecimento de bens a ele relacionados;</w:t>
      </w:r>
      <w:r>
        <w:rPr>
          <w:rFonts w:eastAsia="Arial"/>
          <w:b/>
          <w:color w:val="000000"/>
          <w:sz w:val="24"/>
          <w:szCs w:val="24"/>
          <w:u w:val="single"/>
        </w:rPr>
      </w:r>
    </w:p>
    <w:p>
      <w:pPr>
        <w:pStyle w:val="1056"/>
        <w:numPr>
          <w:ilvl w:val="2"/>
          <w:numId w:val="17"/>
        </w:numPr>
        <w:pBdr/>
        <w:spacing w:after="240" w:before="120"/>
        <w:ind w:firstLine="0" w:left="0"/>
        <w:rPr>
          <w:rFonts w:eastAsia="Arial"/>
          <w:b/>
          <w:color w:val="000000"/>
          <w:sz w:val="24"/>
          <w:szCs w:val="24"/>
          <w:u w:val="single"/>
        </w:rPr>
      </w:pPr>
      <w:r/>
      <w:bookmarkStart w:id="14" w:name="_heading=h.1ksv4uv"/>
      <w:r/>
      <w:bookmarkEnd w:id="14"/>
      <w:r>
        <w:rPr>
          <w:rFonts w:eastAsia="Arial"/>
          <w:color w:val="000000"/>
          <w:sz w:val="24"/>
          <w:szCs w:val="24"/>
        </w:rPr>
        <w:t xml:space="preserve">empresa, isoladamente ou em consórcio, responsável pela elaboração do projeto básico ou do projeto executivo, ou empresa da qual o autor </w:t>
      </w:r>
      <w:r>
        <w:rPr>
          <w:rFonts w:eastAsia="Arial"/>
          <w:color w:val="000000"/>
          <w:sz w:val="24"/>
          <w:szCs w:val="24"/>
        </w:rPr>
        <w:t xml:space="preserve">do projeto seja dirigente, gerente, controlador, acionista ou detentor de mais de 5% (cinco por cento) do capital com direito a voto, responsável técnico ou subcontratado, quando a licitação versar sobre serviços ou fornecimento de bens a ela necessários; </w:t>
      </w:r>
      <w:r>
        <w:rPr>
          <w:rFonts w:eastAsia="Arial"/>
          <w:b/>
          <w:color w:val="000000"/>
          <w:sz w:val="24"/>
          <w:szCs w:val="24"/>
          <w:u w:val="single"/>
        </w:rPr>
      </w:r>
    </w:p>
    <w:p>
      <w:pPr>
        <w:pStyle w:val="1056"/>
        <w:numPr>
          <w:ilvl w:val="2"/>
          <w:numId w:val="17"/>
        </w:numPr>
        <w:pBdr/>
        <w:spacing w:after="240" w:before="120"/>
        <w:ind w:firstLine="0" w:left="0"/>
        <w:rPr>
          <w:rFonts w:eastAsia="Arial"/>
          <w:b/>
          <w:color w:val="000000"/>
          <w:sz w:val="24"/>
          <w:szCs w:val="24"/>
          <w:u w:val="single"/>
        </w:rPr>
      </w:pPr>
      <w:r>
        <w:rPr>
          <w:rFonts w:eastAsia="Arial"/>
          <w:color w:val="000000"/>
          <w:sz w:val="24"/>
          <w:szCs w:val="24"/>
        </w:rPr>
        <w:t xml:space="preserve">pessoa física ou jurídica que se encontre, ao tempo da licitação, impossibilitada de participar da licitação em decorrência de sanção que lhe foi imposta;</w:t>
      </w:r>
      <w:r>
        <w:rPr>
          <w:rFonts w:eastAsia="Arial"/>
          <w:b/>
          <w:color w:val="000000"/>
          <w:sz w:val="24"/>
          <w:szCs w:val="24"/>
          <w:u w:val="single"/>
        </w:rPr>
      </w:r>
    </w:p>
    <w:p>
      <w:pPr>
        <w:pStyle w:val="1056"/>
        <w:numPr>
          <w:ilvl w:val="2"/>
          <w:numId w:val="17"/>
        </w:numPr>
        <w:pBdr/>
        <w:spacing w:after="240" w:before="120"/>
        <w:ind w:firstLine="0" w:left="0"/>
        <w:rPr>
          <w:rFonts w:eastAsia="Arial"/>
          <w:b/>
          <w:color w:val="000000"/>
          <w:sz w:val="24"/>
          <w:szCs w:val="24"/>
          <w:u w:val="single"/>
        </w:rPr>
      </w:pPr>
      <w:r/>
      <w:bookmarkStart w:id="15" w:name="_heading=h.44sinio"/>
      <w:r/>
      <w:bookmarkEnd w:id="15"/>
      <w:r>
        <w:rPr>
          <w:rFonts w:eastAsia="Arial"/>
          <w:color w:val="000000"/>
          <w:sz w:val="24"/>
          <w:szCs w:val="24"/>
        </w:rPr>
        <w:t xml:space="preserve">aquele que mantenha vínculo de natureza técnica, comercial, econômica, financeira, trabalhista ou civil com dirigen</w:t>
      </w:r>
      <w:r>
        <w:rPr>
          <w:rFonts w:eastAsia="Arial"/>
          <w:color w:val="000000"/>
          <w:sz w:val="24"/>
          <w:szCs w:val="24"/>
        </w:rPr>
        <w:t xml:space="preserve">te do órgão ou entidade contratante ou com agente público que desempenhe função na licitação ou atue na fiscalização ou na gestão do contrato, ou que deles seja cônjuge, companheiro ou parente em linha reta, colateral ou por afinidade, até o terceiro grau;</w:t>
      </w:r>
      <w:r>
        <w:rPr>
          <w:rFonts w:eastAsia="Arial"/>
          <w:b/>
          <w:color w:val="000000"/>
          <w:sz w:val="24"/>
          <w:szCs w:val="24"/>
          <w:u w:val="single"/>
        </w:rPr>
      </w:r>
    </w:p>
    <w:p>
      <w:pPr>
        <w:pStyle w:val="1056"/>
        <w:numPr>
          <w:ilvl w:val="2"/>
          <w:numId w:val="17"/>
        </w:numPr>
        <w:pBdr/>
        <w:spacing w:after="240" w:before="120"/>
        <w:ind w:firstLine="0" w:left="0"/>
        <w:rPr>
          <w:rFonts w:eastAsia="Arial"/>
          <w:b/>
          <w:color w:val="000000"/>
          <w:sz w:val="24"/>
          <w:szCs w:val="24"/>
          <w:u w:val="single"/>
        </w:rPr>
      </w:pPr>
      <w:r>
        <w:rPr>
          <w:rFonts w:eastAsia="Arial"/>
          <w:color w:val="000000"/>
          <w:sz w:val="24"/>
          <w:szCs w:val="24"/>
        </w:rPr>
        <w:t xml:space="preserve">empresas controladoras, controladas ou coligadas, nos termos da Lei nº 6.404, de 15 de dezembro de 1976, concorrendo entre si;</w:t>
      </w:r>
      <w:r>
        <w:rPr>
          <w:rFonts w:eastAsia="Arial"/>
          <w:b/>
          <w:color w:val="000000"/>
          <w:sz w:val="24"/>
          <w:szCs w:val="24"/>
          <w:u w:val="single"/>
        </w:rPr>
      </w:r>
    </w:p>
    <w:p>
      <w:pPr>
        <w:pStyle w:val="1056"/>
        <w:numPr>
          <w:ilvl w:val="2"/>
          <w:numId w:val="17"/>
        </w:numPr>
        <w:pBdr/>
        <w:spacing w:after="240" w:before="120"/>
        <w:ind w:firstLine="0" w:left="0"/>
        <w:rPr>
          <w:rFonts w:eastAsia="Arial"/>
          <w:b/>
          <w:color w:val="000000"/>
          <w:sz w:val="24"/>
          <w:szCs w:val="24"/>
          <w:u w:val="single"/>
        </w:rPr>
      </w:pPr>
      <w:r/>
      <w:bookmarkStart w:id="16" w:name="_heading=h.2jxsxqh"/>
      <w:r/>
      <w:bookmarkEnd w:id="16"/>
      <w:r>
        <w:rPr>
          <w:rFonts w:eastAsia="Arial"/>
          <w:color w:val="000000"/>
          <w:sz w:val="24"/>
          <w:szCs w:val="24"/>
        </w:rPr>
        <w:t xml:space="preserve">pessoa física ou jurídica que, nos 05 (cinco) anos anteriores à divulgação </w:t>
      </w:r>
      <w:r>
        <w:rPr>
          <w:rFonts w:eastAsia="Arial"/>
          <w:color w:val="000000"/>
          <w:sz w:val="24"/>
          <w:szCs w:val="24"/>
        </w:rPr>
        <w:t xml:space="preserve">do edital, tenha sido condenada judicialmente, com trânsito em julgado, por exploração de trabalho infantil, por submissão de trabalhadores a condições análogas às de escravo ou por contratação de adolescentes nos casos vedados pela legislação trabalhista;</w:t>
      </w:r>
      <w:r>
        <w:rPr>
          <w:rFonts w:eastAsia="Arial"/>
          <w:b/>
          <w:color w:val="000000"/>
          <w:sz w:val="24"/>
          <w:szCs w:val="24"/>
          <w:u w:val="single"/>
        </w:rPr>
      </w:r>
    </w:p>
    <w:p>
      <w:pPr>
        <w:pStyle w:val="1056"/>
        <w:numPr>
          <w:ilvl w:val="2"/>
          <w:numId w:val="17"/>
        </w:numPr>
        <w:pBdr/>
        <w:spacing w:after="240" w:before="120"/>
        <w:ind w:firstLine="0" w:left="0"/>
        <w:rPr>
          <w:rFonts w:eastAsia="Arial"/>
          <w:b/>
          <w:color w:val="000000"/>
          <w:sz w:val="24"/>
          <w:szCs w:val="24"/>
          <w:u w:val="single"/>
        </w:rPr>
      </w:pPr>
      <w:r>
        <w:rPr>
          <w:rFonts w:eastAsia="Arial"/>
          <w:color w:val="000000"/>
          <w:sz w:val="24"/>
          <w:szCs w:val="24"/>
        </w:rPr>
        <w:t xml:space="preserve">agente público do órgão ou entidade licitante;</w:t>
      </w:r>
      <w:r>
        <w:rPr>
          <w:rFonts w:eastAsia="Arial"/>
          <w:b/>
          <w:color w:val="000000"/>
          <w:sz w:val="24"/>
          <w:szCs w:val="24"/>
          <w:u w:val="single"/>
        </w:rPr>
      </w:r>
    </w:p>
    <w:p>
      <w:pPr>
        <w:pStyle w:val="1056"/>
        <w:numPr>
          <w:ilvl w:val="2"/>
          <w:numId w:val="17"/>
        </w:numPr>
        <w:pBdr/>
        <w:spacing w:after="240" w:before="120"/>
        <w:ind w:firstLine="0" w:left="0"/>
        <w:rPr>
          <w:rFonts w:eastAsia="Arial"/>
          <w:b/>
          <w:color w:val="000000"/>
          <w:sz w:val="24"/>
          <w:szCs w:val="24"/>
          <w:u w:val="single"/>
        </w:rPr>
      </w:pPr>
      <w:r>
        <w:rPr>
          <w:rFonts w:eastAsia="Arial"/>
          <w:color w:val="000000"/>
          <w:sz w:val="24"/>
          <w:szCs w:val="24"/>
        </w:rPr>
        <w:t xml:space="preserve">pessoas jurídicas reunidas em consórcio;</w:t>
      </w:r>
      <w:r>
        <w:rPr>
          <w:rFonts w:eastAsia="Arial"/>
          <w:b/>
          <w:color w:val="000000"/>
          <w:sz w:val="24"/>
          <w:szCs w:val="24"/>
          <w:u w:val="single"/>
        </w:rPr>
      </w:r>
    </w:p>
    <w:p>
      <w:pPr>
        <w:pStyle w:val="1056"/>
        <w:numPr>
          <w:ilvl w:val="1"/>
          <w:numId w:val="17"/>
        </w:numPr>
        <w:pBdr/>
        <w:spacing w:after="240" w:before="120"/>
        <w:ind w:firstLine="0" w:left="0"/>
        <w:rPr>
          <w:rFonts w:eastAsia="Arial"/>
          <w:b/>
          <w:color w:val="000000"/>
          <w:sz w:val="24"/>
          <w:szCs w:val="24"/>
          <w:u w:val="single"/>
        </w:rPr>
      </w:pPr>
      <w:r>
        <w:rPr>
          <w:rFonts w:eastAsia="Arial"/>
          <w:color w:val="000000"/>
          <w:sz w:val="24"/>
          <w:szCs w:val="24"/>
        </w:rPr>
        <w:t xml:space="preserve">Organizações da Sociedade Civil de Interesse Público - OSCIP, atuando nessa condição;</w:t>
      </w:r>
      <w:r>
        <w:rPr>
          <w:rFonts w:eastAsia="Arial"/>
          <w:b/>
          <w:color w:val="000000"/>
          <w:sz w:val="24"/>
          <w:szCs w:val="24"/>
          <w:u w:val="single"/>
        </w:rPr>
      </w:r>
    </w:p>
    <w:p>
      <w:pPr>
        <w:pStyle w:val="1056"/>
        <w:numPr>
          <w:ilvl w:val="1"/>
          <w:numId w:val="17"/>
        </w:numPr>
        <w:pBdr/>
        <w:spacing w:after="240" w:before="120"/>
        <w:ind w:firstLine="0" w:left="0"/>
        <w:rPr>
          <w:rFonts w:eastAsia="Arial"/>
          <w:b/>
          <w:color w:val="000000"/>
          <w:sz w:val="24"/>
          <w:szCs w:val="24"/>
          <w:u w:val="single"/>
        </w:rPr>
      </w:pPr>
      <w:r>
        <w:rPr>
          <w:rFonts w:eastAsia="Arial"/>
          <w:color w:val="000000"/>
          <w:sz w:val="24"/>
          <w:szCs w:val="24"/>
        </w:rPr>
        <w:t xml:space="preserve">Não poderá participar, direta ou indiretamente, da licitação ou da execução </w:t>
      </w:r>
      <w:r>
        <w:rPr>
          <w:rFonts w:eastAsia="Arial"/>
          <w:color w:val="000000"/>
          <w:sz w:val="24"/>
          <w:szCs w:val="24"/>
        </w:rPr>
        <w:t xml:space="preserve">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Fonts w:eastAsia="Arial"/>
          <w:color w:val="000000"/>
          <w:sz w:val="24"/>
          <w:szCs w:val="24"/>
          <w:u w:val="single"/>
        </w:rPr>
        <w:instrText xml:space="preserve"> HYPERLINK "http://www.planalto.gov.br/ccivil_03/_ato2019-2022/2021/lei/L14133.htm" \l "art9%C2%A71"</w:instrText>
      </w:r>
      <w:r>
        <w:rPr>
          <w:rFonts w:eastAsia="Arial"/>
          <w:color w:val="000000"/>
          <w:sz w:val="24"/>
          <w:szCs w:val="24"/>
          <w:u w:val="single"/>
        </w:rPr>
        <w:fldChar w:fldCharType="separate"/>
      </w:r>
      <w:r>
        <w:rPr>
          <w:rFonts w:eastAsia="Arial"/>
          <w:color w:val="000000"/>
          <w:sz w:val="24"/>
          <w:szCs w:val="24"/>
          <w:u w:val="single"/>
        </w:rPr>
        <w:t xml:space="preserve">§ 1º do art. 9º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b/>
          <w:color w:val="000000"/>
          <w:sz w:val="24"/>
          <w:szCs w:val="24"/>
          <w:u w:val="single"/>
        </w:rPr>
      </w:r>
    </w:p>
    <w:p>
      <w:pPr>
        <w:pStyle w:val="1056"/>
        <w:numPr>
          <w:ilvl w:val="1"/>
          <w:numId w:val="17"/>
        </w:numPr>
        <w:pBdr/>
        <w:spacing w:after="240" w:before="120"/>
        <w:ind w:firstLine="0" w:left="0"/>
        <w:rPr>
          <w:rFonts w:eastAsia="Arial"/>
          <w:b/>
          <w:color w:val="000000"/>
          <w:sz w:val="24"/>
          <w:szCs w:val="24"/>
          <w:u w:val="single"/>
        </w:rPr>
      </w:pPr>
      <w:r>
        <w:rPr>
          <w:rFonts w:eastAsia="Arial"/>
          <w:color w:val="000000"/>
          <w:sz w:val="24"/>
          <w:szCs w:val="24"/>
        </w:rPr>
        <w:t xml:space="preserve">O impedimento de que trata o </w:t>
      </w:r>
      <w:r>
        <w:rPr>
          <w:rFonts w:eastAsia="Arial"/>
          <w:b/>
          <w:color w:val="000000"/>
          <w:sz w:val="24"/>
          <w:szCs w:val="24"/>
        </w:rPr>
        <w:t xml:space="preserve">6.7.3 </w:t>
      </w:r>
      <w:r>
        <w:rPr>
          <w:rFonts w:eastAsia="Arial"/>
          <w:color w:val="000000"/>
          <w:sz w:val="24"/>
          <w:szCs w:val="24"/>
        </w:rPr>
        <w:t xml:space="preserve">será também aplicado ao licitante que atue em substituição a outra </w:t>
      </w:r>
      <w:r>
        <w:rPr>
          <w:rFonts w:eastAsia="Arial"/>
          <w:color w:val="000000"/>
          <w:sz w:val="24"/>
          <w:szCs w:val="24"/>
        </w:rPr>
        <w:t xml:space="preserve">pessoa, física ou jurídica, com o intuito de burlar a efetividade da sanção a ela aplicada, inclusive a sua controladora, controlada ou coligada, desde que devidamente comprovado o ilícito ou a utilização fraudulenta da personalidade jurídica do licitante.</w:t>
      </w:r>
      <w:r>
        <w:rPr>
          <w:rFonts w:eastAsia="Arial"/>
          <w:b/>
          <w:color w:val="000000"/>
          <w:sz w:val="24"/>
          <w:szCs w:val="24"/>
          <w:u w:val="single"/>
        </w:rPr>
      </w:r>
    </w:p>
    <w:p>
      <w:pPr>
        <w:pStyle w:val="1056"/>
        <w:numPr>
          <w:ilvl w:val="1"/>
          <w:numId w:val="17"/>
        </w:numPr>
        <w:pBdr/>
        <w:spacing w:after="240" w:before="120"/>
        <w:ind w:firstLine="0" w:left="0"/>
        <w:rPr>
          <w:rFonts w:eastAsia="Arial"/>
          <w:b/>
          <w:color w:val="000000"/>
          <w:sz w:val="24"/>
          <w:szCs w:val="24"/>
          <w:u w:val="single"/>
        </w:rPr>
      </w:pPr>
      <w:r>
        <w:rPr>
          <w:rFonts w:eastAsia="Arial"/>
          <w:color w:val="000000"/>
          <w:sz w:val="24"/>
          <w:szCs w:val="24"/>
        </w:rPr>
        <w:t xml:space="preserve">A critério da Administração e exclusivamente a seu serviço, o autor dos projetos e a empresa a que se referem os </w:t>
      </w:r>
      <w:r>
        <w:rPr>
          <w:rFonts w:eastAsia="Arial"/>
          <w:b/>
          <w:color w:val="000000"/>
          <w:sz w:val="24"/>
          <w:szCs w:val="24"/>
        </w:rPr>
        <w:t xml:space="preserve">itens</w:t>
      </w:r>
      <w:r>
        <w:rPr>
          <w:rFonts w:eastAsia="Arial"/>
          <w:color w:val="000000"/>
          <w:sz w:val="24"/>
          <w:szCs w:val="24"/>
        </w:rPr>
        <w:t xml:space="preserve"> </w:t>
      </w:r>
      <w:r>
        <w:rPr>
          <w:rFonts w:eastAsia="Arial"/>
          <w:b/>
          <w:color w:val="000000"/>
          <w:sz w:val="24"/>
          <w:szCs w:val="24"/>
        </w:rPr>
        <w:t xml:space="preserve">6.7.1 </w:t>
      </w:r>
      <w:r>
        <w:rPr>
          <w:rFonts w:eastAsia="Arial"/>
          <w:color w:val="000000"/>
          <w:sz w:val="24"/>
          <w:szCs w:val="24"/>
        </w:rPr>
        <w:t xml:space="preserve">e </w:t>
      </w:r>
      <w:r>
        <w:rPr>
          <w:rFonts w:eastAsia="Arial"/>
          <w:b/>
          <w:color w:val="000000"/>
          <w:sz w:val="24"/>
          <w:szCs w:val="24"/>
        </w:rPr>
        <w:t xml:space="preserve">6.7.2</w:t>
      </w:r>
      <w:r>
        <w:rPr>
          <w:rFonts w:eastAsia="Arial"/>
          <w:color w:val="000000"/>
        </w:rPr>
        <w:t xml:space="preserve"> </w:t>
      </w:r>
      <w:r>
        <w:rPr>
          <w:rFonts w:eastAsia="Arial"/>
          <w:color w:val="000000"/>
          <w:sz w:val="24"/>
          <w:szCs w:val="24"/>
        </w:rPr>
        <w:t xml:space="preserve">poderão participar no apoio das atividades de planejamento da contratação, de execução da licitação ou de gestão do contrato, desde que sob supervisão exclusiva de agentes públicos do órgão ou entidade.</w:t>
      </w:r>
      <w:r>
        <w:rPr>
          <w:rFonts w:eastAsia="Arial"/>
          <w:b/>
          <w:color w:val="000000"/>
          <w:sz w:val="24"/>
          <w:szCs w:val="24"/>
          <w:u w:val="single"/>
        </w:rPr>
      </w:r>
    </w:p>
    <w:p>
      <w:pPr>
        <w:pStyle w:val="1056"/>
        <w:numPr>
          <w:ilvl w:val="1"/>
          <w:numId w:val="17"/>
        </w:numPr>
        <w:pBdr/>
        <w:spacing w:after="240" w:before="120"/>
        <w:ind w:firstLine="0" w:left="0"/>
        <w:rPr>
          <w:rFonts w:eastAsia="Arial"/>
          <w:b/>
          <w:color w:val="000000"/>
          <w:sz w:val="24"/>
          <w:szCs w:val="24"/>
          <w:u w:val="single"/>
        </w:rPr>
      </w:pPr>
      <w:r>
        <w:rPr>
          <w:rFonts w:eastAsia="Arial"/>
          <w:color w:val="000000"/>
          <w:sz w:val="24"/>
          <w:szCs w:val="24"/>
        </w:rPr>
        <w:t xml:space="preserve">Equiparam-se aos autores do projeto as empresas integrantes do mesmo grupo econômico.</w:t>
      </w:r>
      <w:bookmarkStart w:id="17" w:name="bookmark=id.z337ya"/>
      <w:r/>
      <w:bookmarkEnd w:id="17"/>
      <w:r/>
      <w:r>
        <w:rPr>
          <w:rFonts w:eastAsia="Arial"/>
          <w:b/>
          <w:color w:val="000000"/>
          <w:sz w:val="24"/>
          <w:szCs w:val="24"/>
          <w:u w:val="single"/>
        </w:rPr>
      </w:r>
    </w:p>
    <w:p>
      <w:pPr>
        <w:pStyle w:val="1056"/>
        <w:numPr>
          <w:ilvl w:val="1"/>
          <w:numId w:val="17"/>
        </w:numPr>
        <w:pBdr/>
        <w:spacing w:after="240" w:before="120"/>
        <w:ind w:firstLine="0" w:left="0"/>
        <w:rPr>
          <w:rFonts w:eastAsia="Arial"/>
          <w:b/>
          <w:color w:val="000000"/>
          <w:sz w:val="24"/>
          <w:szCs w:val="24"/>
          <w:u w:val="single"/>
        </w:rPr>
      </w:pPr>
      <w:r>
        <w:rPr>
          <w:rFonts w:eastAsia="Arial"/>
          <w:color w:val="000000"/>
          <w:sz w:val="24"/>
          <w:szCs w:val="24"/>
        </w:rPr>
        <w:t xml:space="preserve">O disposto nos </w:t>
      </w:r>
      <w:r>
        <w:rPr>
          <w:rFonts w:eastAsia="Arial"/>
          <w:b/>
          <w:color w:val="000000"/>
          <w:sz w:val="24"/>
          <w:szCs w:val="24"/>
        </w:rPr>
        <w:t xml:space="preserve">itens</w:t>
      </w:r>
      <w:r>
        <w:rPr>
          <w:rFonts w:eastAsia="Arial"/>
          <w:color w:val="000000"/>
          <w:sz w:val="24"/>
          <w:szCs w:val="24"/>
        </w:rPr>
        <w:t xml:space="preserve"> </w:t>
      </w:r>
      <w:r>
        <w:rPr>
          <w:rFonts w:eastAsia="Arial"/>
          <w:b/>
          <w:color w:val="000000"/>
          <w:sz w:val="24"/>
          <w:szCs w:val="24"/>
        </w:rPr>
        <w:t xml:space="preserve">6.7.1 </w:t>
      </w:r>
      <w:r>
        <w:rPr>
          <w:rFonts w:eastAsia="Arial"/>
          <w:color w:val="000000"/>
          <w:sz w:val="24"/>
          <w:szCs w:val="24"/>
        </w:rPr>
        <w:t xml:space="preserve">e </w:t>
      </w:r>
      <w:r>
        <w:rPr>
          <w:rFonts w:eastAsia="Arial"/>
          <w:b/>
          <w:color w:val="000000"/>
          <w:sz w:val="24"/>
          <w:szCs w:val="24"/>
        </w:rPr>
        <w:t xml:space="preserve">6.7.2</w:t>
      </w:r>
      <w:r>
        <w:rPr>
          <w:rFonts w:eastAsia="Arial"/>
          <w:b/>
          <w:color w:val="000000"/>
        </w:rPr>
        <w:t xml:space="preserve"> </w:t>
      </w:r>
      <w:r>
        <w:rPr>
          <w:rFonts w:eastAsia="Arial"/>
          <w:color w:val="000000"/>
          <w:sz w:val="24"/>
          <w:szCs w:val="24"/>
        </w:rPr>
        <w:t xml:space="preserve">não impede a licitação ou a contratação de serviço que inclua como encargo do contratado a elaboração do projeto básico e do projeto executivo, nas contratações integradas, e do projeto executivo, nos demais regimes de execução.</w:t>
      </w:r>
      <w:r>
        <w:rPr>
          <w:rFonts w:eastAsia="Arial"/>
          <w:b/>
          <w:color w:val="000000"/>
          <w:sz w:val="24"/>
          <w:szCs w:val="24"/>
          <w:u w:val="single"/>
        </w:rPr>
      </w:r>
    </w:p>
    <w:p>
      <w:pPr>
        <w:pStyle w:val="1056"/>
        <w:numPr>
          <w:ilvl w:val="1"/>
          <w:numId w:val="17"/>
        </w:numPr>
        <w:pBdr/>
        <w:spacing w:after="240" w:before="120"/>
        <w:ind w:firstLine="0" w:left="0"/>
        <w:rPr>
          <w:rFonts w:eastAsia="Arial"/>
          <w:b/>
          <w:color w:val="000000"/>
          <w:sz w:val="24"/>
          <w:szCs w:val="24"/>
          <w:u w:val="single"/>
        </w:rPr>
      </w:pPr>
      <w:r>
        <w:rPr>
          <w:rFonts w:eastAsia="Arial"/>
          <w:color w:val="000000"/>
          <w:sz w:val="24"/>
          <w:szCs w:val="24"/>
        </w:rPr>
        <w:t xml:space="preserve">Em licitações e contratações realizadas no âmbito de projetos e programas parcialmente financiados por agência oficial de cooperação estrangeira </w:t>
      </w:r>
      <w:r>
        <w:rPr>
          <w:rFonts w:eastAsia="Arial"/>
          <w:color w:val="000000"/>
          <w:sz w:val="24"/>
          <w:szCs w:val="24"/>
        </w:rPr>
        <w:t xml:space="preserve">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tooltip="http://www.planalto.gov.br/ccivil_03/_ato2019-2022/2021/lei/L14133.htm" w:history="1">
        <w:r>
          <w:rPr>
            <w:rFonts w:eastAsia="Arial"/>
            <w:color w:val="000000"/>
            <w:sz w:val="24"/>
            <w:szCs w:val="24"/>
            <w:u w:val="single"/>
          </w:rPr>
          <w:t xml:space="preserve">Lei nº 14.133/2021</w:t>
        </w:r>
      </w:hyperlink>
      <w:r>
        <w:rPr>
          <w:rFonts w:eastAsia="Arial"/>
          <w:color w:val="000000"/>
          <w:sz w:val="24"/>
          <w:szCs w:val="24"/>
        </w:rPr>
        <w:t xml:space="preserve">.</w:t>
      </w:r>
      <w:r>
        <w:rPr>
          <w:rFonts w:eastAsia="Arial"/>
          <w:b/>
          <w:color w:val="000000"/>
          <w:sz w:val="24"/>
          <w:szCs w:val="24"/>
          <w:u w:val="single"/>
        </w:rPr>
      </w:r>
    </w:p>
    <w:p>
      <w:pPr>
        <w:pStyle w:val="1056"/>
        <w:numPr>
          <w:ilvl w:val="1"/>
          <w:numId w:val="17"/>
        </w:numPr>
        <w:pBdr/>
        <w:spacing w:after="240" w:before="120"/>
        <w:ind w:firstLine="0" w:left="0"/>
        <w:rPr>
          <w:rFonts w:eastAsia="Arial"/>
          <w:b/>
          <w:color w:val="000000"/>
          <w:sz w:val="24"/>
          <w:szCs w:val="24"/>
          <w:u w:val="single"/>
        </w:rPr>
      </w:pPr>
      <w:r>
        <w:rPr>
          <w:rFonts w:eastAsia="Arial"/>
          <w:color w:val="000000"/>
          <w:sz w:val="24"/>
          <w:szCs w:val="24"/>
        </w:rPr>
        <w:t xml:space="preserve">A vedação de que trata o </w:t>
      </w:r>
      <w:r>
        <w:rPr>
          <w:rFonts w:eastAsia="Arial"/>
          <w:b/>
          <w:color w:val="000000"/>
          <w:sz w:val="24"/>
          <w:szCs w:val="24"/>
        </w:rPr>
        <w:t xml:space="preserve">item 6.7.7</w:t>
      </w:r>
      <w:r>
        <w:rPr>
          <w:rFonts w:eastAsia="Arial"/>
          <w:color w:val="000000"/>
          <w:sz w:val="24"/>
          <w:szCs w:val="24"/>
        </w:rPr>
        <w:t xml:space="preserve"> estende-se a terceiro que auxilie a condução da contratação na qualidade de integrante de equipe de apoio, profissional especializado ou funcionário ou representante de empresa que preste assessoria técnica.</w:t>
      </w:r>
      <w:r>
        <w:rPr>
          <w:rFonts w:eastAsia="Arial"/>
          <w:b/>
          <w:color w:val="000000"/>
          <w:sz w:val="24"/>
          <w:szCs w:val="24"/>
          <w:u w:val="single"/>
        </w:rPr>
      </w:r>
    </w:p>
    <w:p>
      <w:pPr>
        <w:pStyle w:val="1056"/>
        <w:numPr>
          <w:ilvl w:val="0"/>
          <w:numId w:val="12"/>
        </w:numPr>
        <w:pBdr/>
        <w:spacing w:after="240" w:before="120"/>
        <w:ind w:firstLine="0" w:left="0"/>
        <w:rPr>
          <w:rFonts w:eastAsia="Arial"/>
          <w:b/>
          <w:color w:val="000000"/>
          <w:sz w:val="24"/>
          <w:szCs w:val="24"/>
          <w:u w:val="single"/>
        </w:rPr>
      </w:pPr>
      <w:r/>
      <w:bookmarkStart w:id="18" w:name="bookmark=id.3j2qqm3"/>
      <w:r/>
      <w:bookmarkEnd w:id="18"/>
      <w:r>
        <w:rPr>
          <w:rFonts w:eastAsia="Arial"/>
          <w:b/>
          <w:color w:val="000000"/>
          <w:sz w:val="24"/>
          <w:szCs w:val="24"/>
          <w:u w:val="single"/>
        </w:rPr>
        <w:t xml:space="preserve">DA APRESENTAÇÃO DA PROPOSTA E DOS DOCUMENTOS DE HABILITAÇÃO:</w:t>
      </w:r>
      <w:r>
        <w:rPr>
          <w:rFonts w:eastAsia="Arial"/>
          <w:b/>
          <w:color w:val="000000"/>
          <w:sz w:val="24"/>
          <w:szCs w:val="24"/>
          <w:u w:val="single"/>
        </w:rPr>
      </w:r>
    </w:p>
    <w:p>
      <w:pPr>
        <w:pStyle w:val="1056"/>
        <w:numPr>
          <w:ilvl w:val="1"/>
          <w:numId w:val="18"/>
        </w:numPr>
        <w:pBdr/>
        <w:spacing w:after="240" w:before="120"/>
        <w:ind w:firstLine="0" w:left="0"/>
        <w:rPr>
          <w:rFonts w:eastAsia="Arial"/>
          <w:b/>
          <w:color w:val="000000"/>
          <w:sz w:val="24"/>
          <w:szCs w:val="24"/>
          <w:u w:val="single"/>
        </w:rPr>
      </w:pPr>
      <w:r/>
      <w:bookmarkStart w:id="19" w:name="_heading=h.1y810tw"/>
      <w:r/>
      <w:bookmarkEnd w:id="19"/>
      <w:r>
        <w:rPr>
          <w:rFonts w:eastAsia="Arial"/>
          <w:color w:val="000000"/>
          <w:sz w:val="24"/>
          <w:szCs w:val="24"/>
        </w:rPr>
        <w:t xml:space="preserve">Na presente licitação, a </w:t>
      </w:r>
      <w:r>
        <w:rPr>
          <w:rFonts w:eastAsia="Arial"/>
          <w:b/>
          <w:color w:val="000000"/>
          <w:sz w:val="24"/>
          <w:szCs w:val="24"/>
        </w:rPr>
        <w:t xml:space="preserve">fase de habilitação sucederá</w:t>
      </w:r>
      <w:r>
        <w:rPr>
          <w:rFonts w:eastAsia="Arial"/>
          <w:color w:val="000000"/>
          <w:sz w:val="24"/>
          <w:szCs w:val="24"/>
        </w:rPr>
        <w:t xml:space="preserve"> as fases de apresentação de propostas e lances e de julgamento.</w:t>
      </w:r>
      <w:r>
        <w:rPr>
          <w:rFonts w:eastAsia="Arial"/>
          <w:b/>
          <w:color w:val="000000"/>
          <w:sz w:val="24"/>
          <w:szCs w:val="24"/>
          <w:u w:val="single"/>
        </w:rPr>
      </w:r>
    </w:p>
    <w:p>
      <w:pPr>
        <w:pStyle w:val="1056"/>
        <w:numPr>
          <w:ilvl w:val="1"/>
          <w:numId w:val="18"/>
        </w:numPr>
        <w:pBdr/>
        <w:spacing w:after="240" w:before="120"/>
        <w:ind w:firstLine="0" w:left="0"/>
        <w:rPr>
          <w:rFonts w:eastAsia="Arial"/>
          <w:b/>
          <w:color w:val="000000"/>
          <w:sz w:val="24"/>
          <w:szCs w:val="24"/>
          <w:u w:val="single"/>
        </w:rPr>
      </w:pPr>
      <w:r/>
      <w:bookmarkStart w:id="20" w:name="_heading=h.4i7ojhp"/>
      <w:r/>
      <w:bookmarkEnd w:id="20"/>
      <w:r>
        <w:rPr>
          <w:rFonts w:eastAsia="Arial"/>
          <w:color w:val="000000"/>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da sessão pública.</w:t>
      </w:r>
      <w:r>
        <w:rPr>
          <w:rFonts w:eastAsia="Arial"/>
          <w:b/>
          <w:color w:val="000000"/>
          <w:sz w:val="24"/>
          <w:szCs w:val="24"/>
          <w:u w:val="single"/>
        </w:rPr>
      </w:r>
    </w:p>
    <w:p>
      <w:pPr>
        <w:pStyle w:val="1056"/>
        <w:numPr>
          <w:ilvl w:val="1"/>
          <w:numId w:val="18"/>
        </w:numPr>
        <w:pBdr/>
        <w:spacing w:after="240" w:before="120"/>
        <w:ind w:firstLine="0" w:left="0"/>
        <w:rPr>
          <w:rFonts w:eastAsia="Arial"/>
          <w:b/>
          <w:color w:val="000000"/>
          <w:sz w:val="24"/>
          <w:szCs w:val="24"/>
          <w:u w:val="single"/>
        </w:rPr>
      </w:pPr>
      <w:r/>
      <w:bookmarkStart w:id="21" w:name="_heading=h.2xcytpi"/>
      <w:r/>
      <w:bookmarkEnd w:id="21"/>
      <w:r>
        <w:rPr>
          <w:rFonts w:eastAsia="Arial"/>
          <w:color w:val="000000"/>
          <w:sz w:val="24"/>
          <w:szCs w:val="24"/>
        </w:rPr>
        <w:t xml:space="preserve">Caso a fase de habilitação anteceda as</w:t>
      </w:r>
      <w:r>
        <w:rPr>
          <w:rFonts w:eastAsia="Arial"/>
          <w:color w:val="000000"/>
          <w:sz w:val="24"/>
          <w:szCs w:val="24"/>
        </w:rPr>
        <w:t xml:space="preserve">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eastAsia="Arial"/>
          <w:b/>
          <w:color w:val="000000"/>
          <w:sz w:val="24"/>
          <w:szCs w:val="24"/>
        </w:rPr>
        <w:t xml:space="preserve">11.1</w:t>
      </w:r>
      <w:r>
        <w:rPr>
          <w:rFonts w:eastAsia="Arial"/>
          <w:color w:val="000000"/>
          <w:sz w:val="24"/>
          <w:szCs w:val="24"/>
        </w:rPr>
        <w:t xml:space="preserve"> e </w:t>
      </w:r>
      <w:r>
        <w:rPr>
          <w:rFonts w:eastAsia="Arial"/>
          <w:b/>
          <w:color w:val="000000"/>
          <w:sz w:val="24"/>
          <w:szCs w:val="24"/>
        </w:rPr>
        <w:t xml:space="preserve">11.11.1 </w:t>
      </w:r>
      <w:r>
        <w:rPr>
          <w:rFonts w:eastAsia="Arial"/>
          <w:color w:val="000000"/>
          <w:sz w:val="24"/>
          <w:szCs w:val="24"/>
        </w:rPr>
        <w:t xml:space="preserve">deste Edital.</w:t>
      </w:r>
      <w:r>
        <w:rPr>
          <w:rFonts w:eastAsia="Arial"/>
          <w:b/>
          <w:color w:val="000000"/>
          <w:sz w:val="24"/>
          <w:szCs w:val="24"/>
          <w:u w:val="single"/>
        </w:rPr>
      </w:r>
    </w:p>
    <w:p>
      <w:pPr>
        <w:pStyle w:val="1056"/>
        <w:numPr>
          <w:ilvl w:val="1"/>
          <w:numId w:val="18"/>
        </w:numPr>
        <w:pBdr/>
        <w:spacing w:after="240" w:before="120"/>
        <w:ind w:firstLine="0" w:left="0"/>
        <w:rPr>
          <w:rFonts w:eastAsia="Arial"/>
          <w:b/>
          <w:color w:val="000000"/>
          <w:sz w:val="24"/>
          <w:szCs w:val="24"/>
          <w:u w:val="single"/>
        </w:rPr>
      </w:pPr>
      <w:r>
        <w:rPr>
          <w:rFonts w:eastAsia="Arial"/>
          <w:color w:val="000000"/>
          <w:sz w:val="24"/>
          <w:szCs w:val="24"/>
        </w:rPr>
        <w:t xml:space="preserve">No cadastramento da proposta inicial, o licitante declarará, em campo próprio do sistema, que:</w:t>
      </w:r>
      <w:r>
        <w:rPr>
          <w:rFonts w:eastAsia="Arial"/>
          <w:b/>
          <w:color w:val="000000"/>
          <w:sz w:val="24"/>
          <w:szCs w:val="24"/>
          <w:u w:val="single"/>
        </w:rPr>
      </w:r>
    </w:p>
    <w:p>
      <w:pPr>
        <w:pStyle w:val="1056"/>
        <w:numPr>
          <w:ilvl w:val="2"/>
          <w:numId w:val="18"/>
        </w:numPr>
        <w:pBdr/>
        <w:tabs>
          <w:tab w:val="clear" w:leader="none" w:pos="720"/>
          <w:tab w:val="left" w:leader="none" w:pos="851"/>
          <w:tab w:val="left" w:leader="none" w:pos="1560"/>
        </w:tabs>
        <w:spacing w:after="240" w:before="120"/>
        <w:ind w:firstLine="0" w:left="0"/>
        <w:rPr>
          <w:rFonts w:eastAsia="Arial"/>
          <w:b/>
          <w:color w:val="000000"/>
          <w:sz w:val="24"/>
          <w:szCs w:val="24"/>
          <w:u w:val="single"/>
        </w:rPr>
      </w:pPr>
      <w:r>
        <w:rPr>
          <w:rFonts w:eastAsia="Arial"/>
          <w:color w:val="000000"/>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w:t>
      </w:r>
      <w:r>
        <w:rPr>
          <w:rFonts w:eastAsia="Arial"/>
          <w:color w:val="000000"/>
          <w:sz w:val="24"/>
          <w:szCs w:val="24"/>
        </w:rPr>
        <w:t xml:space="preserve">leis trabalhistas, nas normas infralegais, nas convenções coletivas de trabalho e nos termos de ajustamento de conduta vigentes na data de sua entrega em definitivo e que cumpre plenamente os requisitos de habilitação definidos no instrumento convocatório;</w:t>
      </w:r>
      <w:r>
        <w:rPr>
          <w:rFonts w:eastAsia="Arial"/>
          <w:b/>
          <w:color w:val="000000"/>
          <w:sz w:val="24"/>
          <w:szCs w:val="24"/>
          <w:u w:val="single"/>
        </w:rPr>
      </w:r>
    </w:p>
    <w:p>
      <w:pPr>
        <w:pStyle w:val="1056"/>
        <w:numPr>
          <w:ilvl w:val="2"/>
          <w:numId w:val="18"/>
        </w:numPr>
        <w:pBdr/>
        <w:tabs>
          <w:tab w:val="clear" w:leader="none" w:pos="720"/>
          <w:tab w:val="left" w:leader="none" w:pos="851"/>
          <w:tab w:val="left" w:leader="none" w:pos="1560"/>
        </w:tabs>
        <w:spacing w:after="240" w:before="120"/>
        <w:ind w:firstLine="0" w:left="0"/>
        <w:rPr>
          <w:rFonts w:eastAsia="Arial"/>
          <w:b/>
          <w:color w:val="000000"/>
          <w:sz w:val="24"/>
          <w:szCs w:val="24"/>
          <w:u w:val="single"/>
        </w:rPr>
      </w:pPr>
      <w:r>
        <w:rPr>
          <w:rFonts w:eastAsia="Arial"/>
          <w:color w:val="000000"/>
          <w:sz w:val="24"/>
          <w:szCs w:val="24"/>
        </w:rPr>
        <w:t xml:space="preserve">não emprega menor de 18 anos em trabalho noturno, perigoso ou insalubre e não emprega menor de 16 anos, salvo menor, a partir de 14 anos, na condição de aprendiz, nos termos do </w:t>
      </w:r>
      <w:r>
        <w:fldChar w:fldCharType="begin"/>
      </w:r>
      <w:r>
        <w:rPr>
          <w:rFonts w:eastAsia="Arial"/>
          <w:color w:val="000000"/>
          <w:sz w:val="24"/>
          <w:szCs w:val="24"/>
          <w:u w:val="single"/>
        </w:rPr>
        <w:instrText xml:space="preserve"> HYPERLINK "https://www.planalto.gov.br/ccivil_03/constituicao/constituicaocompilado.htm" \l "art7"</w:instrText>
      </w:r>
      <w:r>
        <w:rPr>
          <w:rFonts w:eastAsia="Arial"/>
          <w:color w:val="000000"/>
          <w:sz w:val="24"/>
          <w:szCs w:val="24"/>
          <w:u w:val="single"/>
        </w:rPr>
        <w:fldChar w:fldCharType="separate"/>
      </w:r>
      <w:r>
        <w:rPr>
          <w:rFonts w:eastAsia="Arial"/>
          <w:color w:val="000000"/>
          <w:sz w:val="24"/>
          <w:szCs w:val="24"/>
          <w:u w:val="single"/>
        </w:rPr>
        <w:t xml:space="preserve">artigo 7°, XXXIII, da Constituição</w:t>
      </w:r>
      <w:r>
        <w:rPr>
          <w:rFonts w:eastAsia="Arial"/>
          <w:color w:val="000000"/>
          <w:sz w:val="24"/>
          <w:szCs w:val="24"/>
          <w:u w:val="single"/>
        </w:rPr>
        <w:fldChar w:fldCharType="end"/>
      </w:r>
      <w:r>
        <w:rPr>
          <w:rFonts w:eastAsia="Arial"/>
          <w:color w:val="000000"/>
          <w:sz w:val="24"/>
          <w:szCs w:val="24"/>
        </w:rPr>
        <w:t xml:space="preserve">;</w:t>
      </w:r>
      <w:r>
        <w:rPr>
          <w:rFonts w:eastAsia="Arial"/>
          <w:b/>
          <w:color w:val="000000"/>
          <w:sz w:val="24"/>
          <w:szCs w:val="24"/>
          <w:u w:val="single"/>
        </w:rPr>
      </w:r>
    </w:p>
    <w:p>
      <w:pPr>
        <w:pStyle w:val="1056"/>
        <w:numPr>
          <w:ilvl w:val="2"/>
          <w:numId w:val="18"/>
        </w:numPr>
        <w:pBdr/>
        <w:tabs>
          <w:tab w:val="clear" w:leader="none" w:pos="720"/>
          <w:tab w:val="left" w:leader="none" w:pos="851"/>
          <w:tab w:val="left" w:leader="none" w:pos="1560"/>
        </w:tabs>
        <w:spacing w:after="240" w:before="120"/>
        <w:ind w:firstLine="0" w:left="0"/>
        <w:rPr>
          <w:rFonts w:eastAsia="Arial"/>
          <w:b/>
          <w:color w:val="000000"/>
          <w:sz w:val="24"/>
          <w:szCs w:val="24"/>
          <w:u w:val="single"/>
        </w:rPr>
      </w:pPr>
      <w:r>
        <w:rPr>
          <w:rFonts w:eastAsia="Arial"/>
          <w:color w:val="000000"/>
          <w:sz w:val="24"/>
          <w:szCs w:val="24"/>
        </w:rPr>
        <w:t xml:space="preserve">não possui empregados executando trabalho degradante ou forçado, observando o disposto nos </w:t>
      </w:r>
      <w:hyperlink r:id="rId24" w:tooltip="https://www.planalto.gov.br/ccivil_03/constituicao/constituicaocompilado.htm" w:history="1">
        <w:r>
          <w:rPr>
            <w:rFonts w:eastAsia="Arial"/>
            <w:color w:val="000000"/>
            <w:sz w:val="24"/>
            <w:szCs w:val="24"/>
            <w:u w:val="single"/>
          </w:rPr>
          <w:t xml:space="preserve">incisos III e IV do art. 1º e no inciso III do art. 5º da Constituição Federal</w:t>
        </w:r>
      </w:hyperlink>
      <w:r>
        <w:rPr>
          <w:rFonts w:eastAsia="Arial"/>
          <w:color w:val="000000"/>
          <w:sz w:val="24"/>
          <w:szCs w:val="24"/>
        </w:rPr>
        <w:t xml:space="preserve">;</w:t>
      </w:r>
      <w:r>
        <w:rPr>
          <w:rFonts w:eastAsia="Arial"/>
          <w:b/>
          <w:color w:val="000000"/>
          <w:sz w:val="24"/>
          <w:szCs w:val="24"/>
          <w:u w:val="single"/>
        </w:rPr>
      </w:r>
    </w:p>
    <w:p>
      <w:pPr>
        <w:pStyle w:val="1056"/>
        <w:numPr>
          <w:ilvl w:val="2"/>
          <w:numId w:val="18"/>
        </w:numPr>
        <w:pBdr/>
        <w:tabs>
          <w:tab w:val="clear" w:leader="none" w:pos="720"/>
          <w:tab w:val="left" w:leader="none" w:pos="851"/>
          <w:tab w:val="left" w:leader="none" w:pos="1560"/>
        </w:tabs>
        <w:spacing w:after="240" w:before="120"/>
        <w:ind w:firstLine="0" w:left="0"/>
        <w:rPr>
          <w:rFonts w:eastAsia="Arial"/>
          <w:b/>
          <w:color w:val="000000"/>
          <w:sz w:val="24"/>
          <w:szCs w:val="24"/>
          <w:u w:val="single"/>
        </w:rPr>
      </w:pPr>
      <w:r>
        <w:rPr>
          <w:rFonts w:eastAsia="Arial"/>
          <w:color w:val="000000"/>
          <w:sz w:val="24"/>
          <w:szCs w:val="24"/>
        </w:rPr>
        <w:t xml:space="preserve">cumpre as exigências de reserva de cargos para pessoa com deficiência e para reabilitado da Previdência Social, previstas em lei e em outras normas específicas.</w:t>
      </w:r>
      <w:r>
        <w:rPr>
          <w:rFonts w:eastAsia="Arial"/>
          <w:b/>
          <w:color w:val="000000"/>
          <w:sz w:val="24"/>
          <w:szCs w:val="24"/>
          <w:u w:val="single"/>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licitante organizado em cooperativa deverá declarar, ainda, em campo próprio do sistema eletrônico, que cumpre os requisitos estabelecidos no </w:t>
      </w:r>
      <w:r>
        <w:fldChar w:fldCharType="begin"/>
      </w:r>
      <w:r>
        <w:rPr>
          <w:rFonts w:eastAsia="Arial"/>
          <w:color w:val="000000"/>
          <w:sz w:val="24"/>
          <w:szCs w:val="24"/>
          <w:u w:val="single"/>
        </w:rPr>
        <w:instrText xml:space="preserve"> HYPERLINK "http://www.planalto.gov.br/ccivil_03/_ato2019-2022/2021/lei/L14133.htm" \l "art16"</w:instrText>
      </w:r>
      <w:r>
        <w:rPr>
          <w:rFonts w:eastAsia="Arial"/>
          <w:color w:val="000000"/>
          <w:sz w:val="24"/>
          <w:szCs w:val="24"/>
          <w:u w:val="single"/>
        </w:rPr>
        <w:fldChar w:fldCharType="separate"/>
      </w:r>
      <w:r>
        <w:rPr>
          <w:rFonts w:eastAsia="Arial"/>
          <w:color w:val="000000"/>
          <w:sz w:val="24"/>
          <w:szCs w:val="24"/>
          <w:u w:val="single"/>
        </w:rPr>
        <w:t xml:space="preserve">artigo 16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bookmarkStart w:id="22" w:name="_heading=h.1ci93xb"/>
      <w:r/>
      <w:bookmarkEnd w:id="22"/>
      <w:r>
        <w:rPr>
          <w:rFonts w:eastAsia="Arial"/>
          <w:color w:val="000000"/>
          <w:sz w:val="24"/>
          <w:szCs w:val="24"/>
        </w:rPr>
        <w:t xml:space="preserve">O fornecedor enquadrado como microempresa, empresa de pequeno porte ou sociedade cooperativa deverá declarar, ainda, em campo próprio do sistema eletrônico, que cumpre os requisitos estabelecidos no </w:t>
      </w:r>
      <w:r>
        <w:fldChar w:fldCharType="begin"/>
      </w:r>
      <w:r>
        <w:rPr>
          <w:rFonts w:eastAsia="Arial"/>
          <w:color w:val="000000"/>
          <w:sz w:val="24"/>
          <w:szCs w:val="24"/>
          <w:u w:val="single"/>
        </w:rPr>
        <w:instrText xml:space="preserve"> HYPERLINK "https://www.planalto.gov.br/ccivil_03/leis/lcp/lcp123.htm" \l "art3"</w:instrText>
      </w:r>
      <w:r>
        <w:rPr>
          <w:rFonts w:eastAsia="Arial"/>
          <w:color w:val="000000"/>
          <w:sz w:val="24"/>
          <w:szCs w:val="24"/>
          <w:u w:val="single"/>
        </w:rPr>
        <w:fldChar w:fldCharType="separate"/>
      </w:r>
      <w:r>
        <w:rPr>
          <w:rFonts w:eastAsia="Arial"/>
          <w:color w:val="000000"/>
          <w:sz w:val="24"/>
          <w:szCs w:val="24"/>
          <w:u w:val="single"/>
        </w:rPr>
        <w:t xml:space="preserve">artigo 3° da Lei Complementar nº 123, de 2006</w:t>
      </w:r>
      <w:r>
        <w:rPr>
          <w:rFonts w:eastAsia="Arial"/>
          <w:color w:val="000000"/>
          <w:sz w:val="24"/>
          <w:szCs w:val="24"/>
          <w:u w:val="single"/>
        </w:rPr>
        <w:fldChar w:fldCharType="end"/>
      </w:r>
      <w:r>
        <w:rPr>
          <w:rFonts w:eastAsia="Arial"/>
          <w:color w:val="000000"/>
          <w:sz w:val="24"/>
          <w:szCs w:val="24"/>
        </w:rPr>
        <w:t xml:space="preserve">, estando apto a usufruir do tratamento favorecido estabelecido em seus </w:t>
      </w:r>
      <w:r>
        <w:fldChar w:fldCharType="begin"/>
      </w:r>
      <w:r>
        <w:rPr>
          <w:rFonts w:eastAsia="Arial"/>
          <w:color w:val="000000"/>
          <w:sz w:val="24"/>
          <w:szCs w:val="24"/>
          <w:u w:val="single"/>
        </w:rPr>
        <w:instrText xml:space="preserve"> HYPERLINK "https://www.planalto.gov.br/ccivil_03/leis/lcp/lcp123.htm" \l "art42"</w:instrText>
      </w:r>
      <w:r>
        <w:rPr>
          <w:rFonts w:eastAsia="Arial"/>
          <w:color w:val="000000"/>
          <w:sz w:val="24"/>
          <w:szCs w:val="24"/>
          <w:u w:val="single"/>
        </w:rPr>
        <w:fldChar w:fldCharType="separate"/>
      </w:r>
      <w:r>
        <w:rPr>
          <w:rFonts w:eastAsia="Arial"/>
          <w:color w:val="000000"/>
          <w:sz w:val="24"/>
          <w:szCs w:val="24"/>
          <w:u w:val="single"/>
        </w:rPr>
        <w:t xml:space="preserve">arts. 42 a 49</w:t>
      </w:r>
      <w:r>
        <w:rPr>
          <w:rFonts w:eastAsia="Arial"/>
          <w:color w:val="000000"/>
          <w:sz w:val="24"/>
          <w:szCs w:val="24"/>
          <w:u w:val="single"/>
        </w:rPr>
        <w:fldChar w:fldCharType="end"/>
      </w:r>
      <w:r>
        <w:rPr>
          <w:rFonts w:eastAsia="Arial"/>
          <w:color w:val="000000"/>
          <w:sz w:val="24"/>
          <w:szCs w:val="24"/>
        </w:rPr>
        <w:t xml:space="preserve">, observado o disposto nos </w:t>
      </w:r>
      <w:r>
        <w:fldChar w:fldCharType="begin"/>
      </w:r>
      <w:r>
        <w:rPr>
          <w:rFonts w:eastAsia="Arial"/>
          <w:color w:val="000000"/>
          <w:sz w:val="24"/>
          <w:szCs w:val="24"/>
          <w:u w:val="single"/>
        </w:rPr>
        <w:instrText xml:space="preserve"> HYPERLINK "http://www.planalto.gov.br/ccivil_03/_ato2019-2022/2021/lei/L14133.htm" \l "art4%C2%A71"</w:instrText>
      </w:r>
      <w:r>
        <w:rPr>
          <w:rFonts w:eastAsia="Arial"/>
          <w:color w:val="000000"/>
          <w:sz w:val="24"/>
          <w:szCs w:val="24"/>
          <w:u w:val="single"/>
        </w:rPr>
        <w:fldChar w:fldCharType="separate"/>
      </w:r>
      <w:r>
        <w:rPr>
          <w:rFonts w:eastAsia="Arial"/>
          <w:color w:val="000000"/>
          <w:sz w:val="24"/>
          <w:szCs w:val="24"/>
          <w:u w:val="single"/>
        </w:rPr>
        <w:t xml:space="preserve">§§ 1º ao 3º do art. 4º, da Lei n.º 14.133, de 2021.</w:t>
      </w:r>
      <w:r>
        <w:rPr>
          <w:rFonts w:eastAsia="Arial"/>
          <w:color w:val="000000"/>
          <w:sz w:val="24"/>
          <w:szCs w:val="24"/>
          <w:u w:val="single"/>
        </w:rPr>
        <w:fldChar w:fldCharType="end"/>
      </w:r>
      <w:r>
        <w:rPr>
          <w:rFonts w:eastAsia="Arial"/>
          <w:color w:val="000000"/>
          <w:sz w:val="24"/>
          <w:szCs w:val="24"/>
        </w:rPr>
      </w:r>
    </w:p>
    <w:p>
      <w:pPr>
        <w:pStyle w:val="1056"/>
        <w:numPr>
          <w:ilvl w:val="2"/>
          <w:numId w:val="18"/>
        </w:numPr>
        <w:pBdr/>
        <w:tabs>
          <w:tab w:val="clear" w:leader="none" w:pos="720"/>
          <w:tab w:val="left" w:leader="none" w:pos="851"/>
          <w:tab w:val="left" w:leader="none" w:pos="1560"/>
          <w:tab w:val="left" w:leader="none" w:pos="1701"/>
          <w:tab w:val="left" w:leader="none" w:pos="1843"/>
        </w:tabs>
        <w:spacing w:line="276" w:lineRule="auto"/>
        <w:ind w:firstLine="0" w:left="0"/>
        <w:rPr>
          <w:rFonts w:eastAsia="Arial"/>
          <w:color w:val="000000"/>
          <w:sz w:val="24"/>
          <w:szCs w:val="24"/>
        </w:rPr>
      </w:pPr>
      <w:r>
        <w:rPr>
          <w:rFonts w:eastAsia="Arial"/>
          <w:color w:val="000000"/>
          <w:sz w:val="24"/>
          <w:szCs w:val="24"/>
        </w:rPr>
        <w:t xml:space="preserve">no item exclusivo para participação de microempresas e empresas de pequeno porte, a assinalação do campo “não” impedirá o prosseguimento no certame, para aquele item;</w:t>
      </w:r>
      <w:r>
        <w:rPr>
          <w:rFonts w:eastAsia="Arial"/>
          <w:color w:val="000000"/>
          <w:sz w:val="24"/>
          <w:szCs w:val="24"/>
        </w:rPr>
      </w:r>
    </w:p>
    <w:p>
      <w:pPr>
        <w:pStyle w:val="1056"/>
        <w:numPr>
          <w:ilvl w:val="2"/>
          <w:numId w:val="18"/>
        </w:numPr>
        <w:pBdr/>
        <w:tabs>
          <w:tab w:val="clear" w:leader="none" w:pos="720"/>
          <w:tab w:val="left" w:leader="none" w:pos="851"/>
          <w:tab w:val="left" w:leader="none" w:pos="1560"/>
          <w:tab w:val="left" w:leader="none" w:pos="1701"/>
          <w:tab w:val="left" w:leader="none" w:pos="1843"/>
        </w:tabs>
        <w:spacing w:line="276" w:lineRule="auto"/>
        <w:ind w:firstLine="0" w:left="0"/>
        <w:rPr>
          <w:rFonts w:eastAsia="Arial"/>
          <w:color w:val="000000"/>
          <w:sz w:val="24"/>
          <w:szCs w:val="24"/>
        </w:rPr>
      </w:pPr>
      <w:r>
        <w:rPr>
          <w:rFonts w:eastAsia="Arial"/>
          <w:color w:val="000000"/>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5" w:tooltip="https://www.planalto.gov.br/ccivil_03/leis/lcp/lcp123.htm" w:history="1">
        <w:r>
          <w:rPr>
            <w:rFonts w:eastAsia="Arial"/>
            <w:color w:val="000000"/>
            <w:sz w:val="24"/>
            <w:szCs w:val="24"/>
            <w:u w:val="single"/>
          </w:rPr>
          <w:t xml:space="preserve">Lei Complementar nº 123, de 2006</w:t>
        </w:r>
      </w:hyperlink>
      <w:r>
        <w:rPr>
          <w:rFonts w:eastAsia="Arial"/>
          <w:color w:val="000000"/>
          <w:sz w:val="24"/>
          <w:szCs w:val="24"/>
        </w:rPr>
        <w:t xml:space="preserve">, mesmo que microempresa, empresa de pequeno porte ou sociedade cooperativa.</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falsidade da declaração de que trata os </w:t>
      </w:r>
      <w:r>
        <w:rPr>
          <w:rFonts w:eastAsia="Arial"/>
          <w:b/>
          <w:color w:val="000000"/>
          <w:sz w:val="24"/>
          <w:szCs w:val="24"/>
        </w:rPr>
        <w:t xml:space="preserve">itens 7.3 ou 7.6</w:t>
      </w:r>
      <w:r>
        <w:rPr>
          <w:rFonts w:eastAsia="Arial"/>
          <w:color w:val="000000"/>
          <w:sz w:val="24"/>
          <w:szCs w:val="24"/>
        </w:rPr>
        <w:t xml:space="preserve"> sujeitará o licitante às sanções previstas na </w:t>
      </w:r>
      <w:hyperlink r:id="rId26" w:tooltip="http://www.planalto.gov.br/ccivil_03/_ato2019-2022/2021/lei/L14133.htm" w:history="1">
        <w:r>
          <w:rPr>
            <w:rFonts w:eastAsia="Arial"/>
            <w:color w:val="000000"/>
            <w:sz w:val="24"/>
            <w:szCs w:val="24"/>
            <w:u w:val="single"/>
          </w:rPr>
          <w:t xml:space="preserve">Lei nº 14.133, de 2021</w:t>
        </w:r>
      </w:hyperlink>
      <w:r>
        <w:rPr>
          <w:rFonts w:eastAsia="Arial"/>
          <w:color w:val="000000"/>
          <w:sz w:val="24"/>
          <w:szCs w:val="24"/>
        </w:rPr>
        <w:t xml:space="preserve">, e neste Edital.</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licitante</w:t>
      </w:r>
      <w:r>
        <w:rPr>
          <w:rFonts w:eastAsia="Arial"/>
          <w:color w:val="000000"/>
          <w:sz w:val="24"/>
          <w:szCs w:val="24"/>
        </w:rPr>
        <w:t xml:space="preserve">s poderão retirar ou substituir a proposta ou, na hipótese de a fase de habilitação anteceder as fases de apresentação de propostas e lances e de julgamento, os documentos de habilitação anteriormente inseridos no sistema, até a abertura da sessão pública.</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Não haverá ordem de classificação na etapa de apresentação da proposta e dos documentos de habilitação pelo licitante, o que ocorrerá somente após os procedimentos de abertura da sessão pública e da fase de envio de lances.</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bookmarkStart w:id="23" w:name="_heading=h.3whwml4"/>
      <w:r/>
      <w:bookmarkEnd w:id="23"/>
      <w:r>
        <w:rPr>
          <w:rFonts w:eastAsia="Arial"/>
          <w:color w:val="000000"/>
          <w:sz w:val="24"/>
          <w:szCs w:val="24"/>
        </w:rPr>
        <w:t xml:space="preserve">Serão disponibilizados para acesso público os documentos que compõem a proposta dos licitantes convocados para apresentação de propostas, após a fase de envio de lances.</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Desde que disponibilizada a funcionalidade no sistema, o licitante poderá parametrizar o seu valor final mínimo ou o seu percentual de desconto máximo quando do cadastramento da proposta e obedecerá às seguintes regras:</w:t>
      </w:r>
      <w:r>
        <w:rPr>
          <w:rFonts w:eastAsia="Arial"/>
          <w:color w:val="000000"/>
          <w:sz w:val="24"/>
          <w:szCs w:val="24"/>
        </w:rPr>
      </w:r>
    </w:p>
    <w:p>
      <w:pPr>
        <w:pStyle w:val="1056"/>
        <w:numPr>
          <w:ilvl w:val="2"/>
          <w:numId w:val="18"/>
        </w:numPr>
        <w:pBdr/>
        <w:tabs>
          <w:tab w:val="clear" w:leader="none" w:pos="720"/>
          <w:tab w:val="left" w:leader="none" w:pos="993"/>
          <w:tab w:val="left" w:leader="none" w:pos="1701"/>
        </w:tabs>
        <w:spacing w:line="276" w:lineRule="auto"/>
        <w:ind w:firstLine="0" w:left="0"/>
        <w:rPr>
          <w:rFonts w:eastAsia="Arial"/>
          <w:color w:val="000000"/>
          <w:sz w:val="24"/>
          <w:szCs w:val="24"/>
        </w:rPr>
      </w:pPr>
      <w:r>
        <w:rPr>
          <w:rFonts w:eastAsia="Arial"/>
          <w:color w:val="000000"/>
          <w:sz w:val="24"/>
          <w:szCs w:val="24"/>
        </w:rPr>
        <w:t xml:space="preserve">a aplicação do intervalo mínimo de diferença de valores ou de percentuais entre os lances, que incidirá tanto em relação aos lances intermediários quanto em relação ao lance que cobrir a melhor oferta; e</w:t>
      </w:r>
      <w:r>
        <w:rPr>
          <w:rFonts w:eastAsia="Arial"/>
          <w:color w:val="000000"/>
          <w:sz w:val="24"/>
          <w:szCs w:val="24"/>
        </w:rPr>
      </w:r>
    </w:p>
    <w:p>
      <w:pPr>
        <w:pStyle w:val="1056"/>
        <w:numPr>
          <w:ilvl w:val="2"/>
          <w:numId w:val="18"/>
        </w:numPr>
        <w:pBdr/>
        <w:tabs>
          <w:tab w:val="clear" w:leader="none" w:pos="720"/>
          <w:tab w:val="left" w:leader="none" w:pos="993"/>
          <w:tab w:val="left" w:leader="none" w:pos="1560"/>
          <w:tab w:val="left" w:leader="none" w:pos="1701"/>
        </w:tabs>
        <w:spacing w:line="276" w:lineRule="auto"/>
        <w:ind w:firstLine="0" w:left="0"/>
        <w:rPr>
          <w:rFonts w:eastAsia="Arial"/>
          <w:color w:val="000000"/>
          <w:sz w:val="24"/>
          <w:szCs w:val="24"/>
        </w:rPr>
      </w:pPr>
      <w:r>
        <w:rPr>
          <w:rFonts w:eastAsia="Arial"/>
          <w:color w:val="000000"/>
          <w:sz w:val="24"/>
          <w:szCs w:val="24"/>
        </w:rPr>
        <w:t xml:space="preserve">os lances serão de envio automático pelo sistema, respeitado o valor final mínimo, caso estabelecido, e o intervalo de que trata o subitem acima.</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valor final mínimo ou o percentual de desconto final máximo parametrizado no sistema poderá ser alterado pelo fornecedor durante a fase de disputa, sendo vedado:</w:t>
      </w:r>
      <w:r>
        <w:rPr>
          <w:rFonts w:eastAsia="Arial"/>
          <w:color w:val="000000"/>
          <w:sz w:val="24"/>
          <w:szCs w:val="24"/>
        </w:rPr>
      </w:r>
    </w:p>
    <w:p>
      <w:pPr>
        <w:pStyle w:val="1056"/>
        <w:numPr>
          <w:ilvl w:val="2"/>
          <w:numId w:val="18"/>
        </w:numPr>
        <w:pBdr/>
        <w:tabs>
          <w:tab w:val="clear" w:leader="none" w:pos="720"/>
          <w:tab w:val="left" w:leader="none" w:pos="851"/>
        </w:tabs>
        <w:spacing w:line="276" w:lineRule="auto"/>
        <w:ind w:firstLine="0" w:left="0"/>
        <w:rPr>
          <w:rFonts w:eastAsia="Arial"/>
          <w:color w:val="000000"/>
          <w:sz w:val="24"/>
          <w:szCs w:val="24"/>
        </w:rPr>
      </w:pPr>
      <w:r>
        <w:rPr>
          <w:rFonts w:eastAsia="Arial"/>
          <w:color w:val="000000"/>
          <w:sz w:val="24"/>
          <w:szCs w:val="24"/>
        </w:rPr>
        <w:t xml:space="preserve">valor superior a lance já registrado pelo fornecedor no sistema, quando adotado o critério de julgamento por menor preço; e</w:t>
      </w:r>
      <w:r>
        <w:rPr>
          <w:rFonts w:eastAsia="Arial"/>
          <w:color w:val="000000"/>
          <w:sz w:val="24"/>
          <w:szCs w:val="24"/>
        </w:rPr>
      </w:r>
    </w:p>
    <w:p>
      <w:pPr>
        <w:pStyle w:val="1056"/>
        <w:numPr>
          <w:ilvl w:val="2"/>
          <w:numId w:val="18"/>
        </w:numPr>
        <w:pBdr/>
        <w:tabs>
          <w:tab w:val="clear" w:leader="none" w:pos="720"/>
          <w:tab w:val="left" w:leader="none" w:pos="851"/>
        </w:tabs>
        <w:spacing w:line="276" w:lineRule="auto"/>
        <w:ind w:firstLine="0" w:left="0"/>
        <w:rPr>
          <w:rFonts w:eastAsia="Arial"/>
          <w:color w:val="000000"/>
          <w:sz w:val="24"/>
          <w:szCs w:val="24"/>
        </w:rPr>
      </w:pPr>
      <w:r>
        <w:rPr>
          <w:rFonts w:eastAsia="Arial"/>
          <w:color w:val="000000"/>
          <w:sz w:val="24"/>
          <w:szCs w:val="24"/>
        </w:rPr>
        <w:t xml:space="preserve">percentual de desconto inferior a lance já registrado pelo fornecedor no sistema, quando adotado o critério de julgamento por maior desconto.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valor final mínimo ou o percentual de desconto final máximo parametrizado na forma do item </w:t>
      </w:r>
      <w:r>
        <w:rPr>
          <w:rFonts w:eastAsia="Arial"/>
          <w:b/>
          <w:color w:val="000000"/>
          <w:sz w:val="24"/>
          <w:szCs w:val="24"/>
        </w:rPr>
        <w:t xml:space="preserve">7.10 </w:t>
      </w:r>
      <w:r>
        <w:rPr>
          <w:rFonts w:eastAsia="Arial"/>
          <w:color w:val="000000"/>
          <w:sz w:val="24"/>
          <w:szCs w:val="24"/>
        </w:rPr>
        <w:t xml:space="preserve">possuirá caráter sigiloso para os demais fornecedores e para o órgão ou entidade promotora da licitação, podendo ser disponibilizado estrita e permanentemente aos órgãos de controle externo e interno.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Caberá ao licitante interessa</w:t>
      </w:r>
      <w:r>
        <w:rPr>
          <w:rFonts w:eastAsia="Arial"/>
          <w:color w:val="000000"/>
          <w:sz w:val="24"/>
          <w:szCs w:val="24"/>
        </w:rPr>
        <w:t xml:space="preserve">do em participar da licitação acompanhar as operações no sistema eletrônico durante o processo licitatório e se responsabilizar pelo ônus decorrente da perda de negócios diante da inobservância de mensagens emitidas pela Administração ou de sua desconexão.</w:t>
      </w:r>
      <w:r>
        <w:rPr>
          <w:rFonts w:eastAsia="Arial"/>
          <w:color w:val="000000"/>
          <w:sz w:val="24"/>
          <w:szCs w:val="24"/>
        </w:rPr>
      </w:r>
    </w:p>
    <w:p>
      <w:pPr>
        <w:pStyle w:val="1056"/>
        <w:numPr>
          <w:ilvl w:val="1"/>
          <w:numId w:val="18"/>
        </w:numPr>
        <w:pBdr/>
        <w:tabs>
          <w:tab w:val="left" w:leader="none" w:pos="0"/>
          <w:tab w:val="clear" w:leader="none" w:pos="720"/>
        </w:tabs>
        <w:spacing w:after="0" w:before="120"/>
        <w:ind w:firstLine="0" w:left="0"/>
        <w:rPr>
          <w:rFonts w:eastAsia="Arial"/>
          <w:color w:val="000000"/>
          <w:sz w:val="24"/>
          <w:szCs w:val="24"/>
        </w:rPr>
      </w:pPr>
      <w:r>
        <w:rPr>
          <w:rFonts w:eastAsia="Arial"/>
          <w:color w:val="000000"/>
          <w:sz w:val="24"/>
          <w:szCs w:val="24"/>
        </w:rPr>
        <w:t xml:space="preserve">O licitante deverá comunicar imediatamente ao provedor do sistema qualquer acontecimento que possa comprometer o sigilo ou a segurança, para imediato bloqueio de acesso.</w:t>
      </w:r>
      <w:r>
        <w:rPr>
          <w:rFonts w:eastAsia="Arial"/>
          <w:color w:val="000000"/>
          <w:sz w:val="24"/>
          <w:szCs w:val="24"/>
        </w:rPr>
      </w:r>
    </w:p>
    <w:p>
      <w:pPr>
        <w:pStyle w:val="1056"/>
        <w:pBdr/>
        <w:tabs>
          <w:tab w:val="left" w:leader="none" w:pos="0"/>
          <w:tab w:val="clear" w:leader="none" w:pos="720"/>
        </w:tabs>
        <w:spacing w:after="0" w:before="120"/>
        <w:ind w:left="-142"/>
        <w:rPr>
          <w:rFonts w:eastAsia="Arial"/>
          <w:color w:val="000000"/>
          <w:sz w:val="24"/>
          <w:szCs w:val="24"/>
        </w:rPr>
      </w:pPr>
      <w:r>
        <w:rPr>
          <w:rFonts w:eastAsia="Arial"/>
          <w:color w:val="000000"/>
          <w:sz w:val="24"/>
          <w:szCs w:val="24"/>
        </w:rPr>
      </w:r>
      <w:r>
        <w:rPr>
          <w:rFonts w:eastAsia="Arial"/>
          <w:color w:val="000000"/>
          <w:sz w:val="24"/>
          <w:szCs w:val="24"/>
        </w:rPr>
      </w:r>
    </w:p>
    <w:p>
      <w:pPr>
        <w:pStyle w:val="1056"/>
        <w:numPr>
          <w:ilvl w:val="1"/>
          <w:numId w:val="18"/>
        </w:numPr>
        <w:pBdr/>
        <w:spacing w:after="120" w:before="1"/>
        <w:ind w:right="693" w:hanging="720" w:left="720"/>
        <w:rPr>
          <w:rFonts w:eastAsia="Arial"/>
          <w:b/>
          <w:color w:val="000000"/>
          <w:sz w:val="24"/>
          <w:szCs w:val="24"/>
          <w:u w:val="single"/>
        </w:rPr>
      </w:pPr>
      <w:r>
        <w:rPr>
          <w:rFonts w:eastAsia="Arial"/>
          <w:b/>
          <w:color w:val="000000"/>
          <w:sz w:val="24"/>
          <w:szCs w:val="24"/>
          <w:u w:val="single"/>
        </w:rPr>
        <w:t xml:space="preserve">DA APRESENTAÇÃO DO CATÁLOGO:</w:t>
      </w:r>
      <w:r>
        <w:rPr>
          <w:rFonts w:eastAsia="Arial"/>
          <w:b/>
          <w:color w:val="000000"/>
          <w:sz w:val="24"/>
          <w:szCs w:val="24"/>
          <w:u w:val="single"/>
        </w:rPr>
      </w:r>
    </w:p>
    <w:p>
      <w:pPr>
        <w:pStyle w:val="1056"/>
        <w:pBdr/>
        <w:spacing w:after="120" w:before="1"/>
        <w:ind w:right="693" w:left="-142"/>
        <w:rPr>
          <w:rFonts w:eastAsia="Arial"/>
          <w:color w:val="000000"/>
          <w:sz w:val="24"/>
          <w:szCs w:val="24"/>
        </w:rPr>
      </w:pPr>
      <w:r>
        <w:rPr>
          <w:rFonts w:eastAsia="Arial"/>
          <w:color w:val="000000"/>
          <w:sz w:val="24"/>
          <w:szCs w:val="24"/>
        </w:rPr>
      </w:r>
      <w:r>
        <w:rPr>
          <w:rFonts w:eastAsia="Arial"/>
          <w:color w:val="000000"/>
          <w:sz w:val="24"/>
          <w:szCs w:val="24"/>
        </w:rPr>
      </w:r>
    </w:p>
    <w:p>
      <w:pPr>
        <w:pStyle w:val="1056"/>
        <w:numPr>
          <w:ilvl w:val="2"/>
          <w:numId w:val="18"/>
        </w:numPr>
        <w:pBdr/>
        <w:tabs>
          <w:tab w:val="clear" w:leader="none" w:pos="720"/>
          <w:tab w:val="left" w:leader="none" w:pos="993"/>
        </w:tabs>
        <w:spacing w:after="120" w:before="1"/>
        <w:ind w:firstLine="0" w:left="0"/>
        <w:rPr>
          <w:rFonts w:eastAsia="Arial"/>
          <w:color w:val="000000"/>
          <w:sz w:val="24"/>
          <w:szCs w:val="24"/>
        </w:rPr>
      </w:pPr>
      <w:r>
        <w:rPr>
          <w:rFonts w:eastAsia="Arial"/>
          <w:color w:val="000000"/>
          <w:sz w:val="24"/>
          <w:szCs w:val="24"/>
        </w:rPr>
        <w:t xml:space="preserve">Em caso de </w:t>
      </w:r>
      <w:r>
        <w:rPr>
          <w:rFonts w:eastAsia="Arial"/>
          <w:b/>
          <w:color w:val="000000"/>
          <w:sz w:val="24"/>
          <w:szCs w:val="24"/>
          <w:u w:val="single"/>
        </w:rPr>
        <w:t xml:space="preserve">equipamentos</w:t>
      </w:r>
      <w:r>
        <w:rPr>
          <w:rFonts w:eastAsia="Arial"/>
          <w:color w:val="000000"/>
          <w:sz w:val="24"/>
          <w:szCs w:val="24"/>
        </w:rPr>
        <w:t xml:space="preserve"> a licitante deverá “obrigatoriamente” - sob pena de desclassificação - apresentar Catálogo Técnico do objeto, emitido pelo fabricante, em original, cópia autenticada ou impressos do site do próprio fabricante. </w:t>
      </w:r>
      <w:r>
        <w:rPr>
          <w:rFonts w:eastAsia="Arial"/>
          <w:color w:val="000000"/>
          <w:sz w:val="24"/>
          <w:szCs w:val="24"/>
        </w:rPr>
      </w:r>
    </w:p>
    <w:p>
      <w:pPr>
        <w:pStyle w:val="1056"/>
        <w:numPr>
          <w:ilvl w:val="0"/>
          <w:numId w:val="2"/>
        </w:numPr>
        <w:pBdr/>
        <w:spacing w:after="0" w:before="240"/>
        <w:ind w:hanging="720" w:left="1701"/>
        <w:rPr>
          <w:rFonts w:eastAsia="Arial"/>
          <w:color w:val="000000"/>
          <w:sz w:val="24"/>
          <w:szCs w:val="24"/>
        </w:rPr>
      </w:pPr>
      <w:r>
        <w:rPr>
          <w:rFonts w:eastAsia="Arial"/>
          <w:color w:val="000000"/>
          <w:sz w:val="24"/>
          <w:szCs w:val="24"/>
        </w:rPr>
        <w:t xml:space="preserve">Os catálogos serão utilizados para conferência de todas as características exigidas para o objeto e comprovação dos seus requisitos técnicos, devendo conter no mínimo as especificações constantes na Proposta de Preços;</w:t>
      </w:r>
      <w:r>
        <w:rPr>
          <w:rFonts w:eastAsia="Arial"/>
          <w:color w:val="000000"/>
          <w:sz w:val="24"/>
          <w:szCs w:val="24"/>
        </w:rPr>
      </w:r>
    </w:p>
    <w:p>
      <w:pPr>
        <w:pStyle w:val="1056"/>
        <w:numPr>
          <w:ilvl w:val="0"/>
          <w:numId w:val="2"/>
        </w:numPr>
        <w:pBdr/>
        <w:spacing w:after="0" w:before="240"/>
        <w:ind w:hanging="720" w:left="1701"/>
        <w:rPr>
          <w:rFonts w:eastAsia="Arial"/>
          <w:color w:val="000000"/>
          <w:sz w:val="24"/>
          <w:szCs w:val="24"/>
        </w:rPr>
      </w:pPr>
      <w:r>
        <w:rPr>
          <w:rFonts w:eastAsia="Arial"/>
          <w:color w:val="000000"/>
          <w:sz w:val="24"/>
          <w:szCs w:val="24"/>
        </w:rPr>
        <w:t xml:space="preserve">Os catálogos deverão ser apresentados de forma nítida e legível, em língua po</w:t>
      </w:r>
      <w:r>
        <w:rPr>
          <w:rFonts w:eastAsia="Arial"/>
          <w:color w:val="000000"/>
          <w:sz w:val="24"/>
          <w:szCs w:val="24"/>
        </w:rPr>
        <w:t xml:space="preserve">rtuguesa sem rasuras ou emendas, contendo todas as características do objeto ofertado, prazo de garantia, com ilustrações/fotos do equipamento, cores disponíveis, desenho industrial discriminando as dimensões, peso, marca, modelo e especificações técnicas;</w:t>
      </w:r>
      <w:r>
        <w:rPr>
          <w:rFonts w:eastAsia="Arial"/>
          <w:color w:val="000000"/>
          <w:sz w:val="24"/>
          <w:szCs w:val="24"/>
        </w:rPr>
      </w:r>
    </w:p>
    <w:p>
      <w:pPr>
        <w:pStyle w:val="1056"/>
        <w:numPr>
          <w:ilvl w:val="0"/>
          <w:numId w:val="2"/>
        </w:numPr>
        <w:pBdr/>
        <w:spacing w:after="0" w:before="240"/>
        <w:ind w:hanging="720" w:left="1701"/>
        <w:rPr>
          <w:rFonts w:eastAsia="Arial"/>
          <w:color w:val="000000"/>
          <w:sz w:val="24"/>
          <w:szCs w:val="24"/>
        </w:rPr>
      </w:pPr>
      <w:r>
        <w:rPr>
          <w:rFonts w:eastAsia="Arial"/>
          <w:color w:val="000000"/>
          <w:sz w:val="24"/>
          <w:szCs w:val="24"/>
        </w:rPr>
        <w:t xml:space="preserve">Catálogos impressos pela Internet somente serão considerados válidos, desde que este possibilite a averiguaçã</w:t>
      </w:r>
      <w:r>
        <w:rPr>
          <w:rFonts w:eastAsia="Arial"/>
          <w:color w:val="000000"/>
          <w:sz w:val="24"/>
          <w:szCs w:val="24"/>
        </w:rPr>
        <w:t xml:space="preserve">o completa da descrição do objeto e conste a origem do site oficial do fabricante e que informe a “FONTE” (endereço completo http://www.fabricantex.com/produtox) do respectivo documento, possibilitando a comprovação da autenticidade do documento proposto; </w:t>
      </w:r>
      <w:r>
        <w:rPr>
          <w:rFonts w:eastAsia="Arial"/>
          <w:color w:val="000000"/>
          <w:sz w:val="24"/>
          <w:szCs w:val="24"/>
        </w:rPr>
      </w:r>
    </w:p>
    <w:p>
      <w:pPr>
        <w:pStyle w:val="1056"/>
        <w:numPr>
          <w:ilvl w:val="0"/>
          <w:numId w:val="2"/>
        </w:numPr>
        <w:pBdr/>
        <w:spacing w:after="0" w:before="240"/>
        <w:ind w:hanging="720" w:left="1701"/>
        <w:rPr>
          <w:rFonts w:eastAsia="Arial"/>
          <w:color w:val="000000"/>
          <w:sz w:val="24"/>
          <w:szCs w:val="24"/>
        </w:rPr>
      </w:pPr>
      <w:r>
        <w:rPr>
          <w:rFonts w:eastAsia="Arial"/>
          <w:color w:val="000000"/>
          <w:sz w:val="24"/>
          <w:szCs w:val="24"/>
        </w:rPr>
        <w:t xml:space="preserve">Ficam vedadas quaisquer transformações, montagens ou adaptações na especificação original do catálogo ofertado, exceto quando referidas modificações tiverem concordância expressa do fabricante; </w:t>
      </w:r>
      <w:r>
        <w:rPr>
          <w:rFonts w:eastAsia="Arial"/>
          <w:color w:val="000000"/>
          <w:sz w:val="24"/>
          <w:szCs w:val="24"/>
        </w:rPr>
      </w:r>
    </w:p>
    <w:p>
      <w:pPr>
        <w:pStyle w:val="1056"/>
        <w:numPr>
          <w:ilvl w:val="0"/>
          <w:numId w:val="2"/>
        </w:numPr>
        <w:pBdr/>
        <w:spacing w:after="0" w:before="240"/>
        <w:ind w:hanging="720" w:left="1701"/>
        <w:rPr>
          <w:rFonts w:eastAsia="Arial"/>
          <w:color w:val="000000"/>
          <w:sz w:val="24"/>
          <w:szCs w:val="24"/>
        </w:rPr>
      </w:pPr>
      <w:r>
        <w:rPr>
          <w:rFonts w:eastAsia="Arial"/>
          <w:color w:val="000000"/>
          <w:sz w:val="24"/>
          <w:szCs w:val="24"/>
        </w:rPr>
        <w:t xml:space="preserve">No caso de catálogo com diversos modelos, a proponente deverá identificar qual a marca/modelo em que concorrerá na licitação;</w:t>
      </w:r>
      <w:r>
        <w:rPr>
          <w:rFonts w:eastAsia="Arial"/>
          <w:color w:val="000000"/>
          <w:sz w:val="24"/>
          <w:szCs w:val="24"/>
        </w:rPr>
      </w:r>
    </w:p>
    <w:p>
      <w:pPr>
        <w:pStyle w:val="1056"/>
        <w:numPr>
          <w:ilvl w:val="0"/>
          <w:numId w:val="2"/>
        </w:numPr>
        <w:pBdr/>
        <w:spacing w:after="280" w:before="240"/>
        <w:ind w:hanging="720" w:left="1701"/>
        <w:rPr>
          <w:rFonts w:eastAsia="Arial"/>
          <w:color w:val="000000"/>
          <w:sz w:val="24"/>
          <w:szCs w:val="24"/>
        </w:rPr>
      </w:pPr>
      <w:r>
        <w:rPr>
          <w:rFonts w:eastAsia="Arial"/>
          <w:color w:val="000000"/>
          <w:sz w:val="24"/>
          <w:szCs w:val="24"/>
        </w:rPr>
        <w:t xml:space="preserve">Poderá a Comissão, caso houver necessidade de se constatar a veracidade das informações, fazer consulta direta no site da fabricante.</w:t>
      </w:r>
      <w:r>
        <w:rPr>
          <w:rFonts w:eastAsia="Arial"/>
          <w:color w:val="000000"/>
          <w:sz w:val="24"/>
          <w:szCs w:val="24"/>
        </w:rPr>
      </w:r>
    </w:p>
    <w:p>
      <w:pPr>
        <w:pStyle w:val="1056"/>
        <w:numPr>
          <w:ilvl w:val="2"/>
          <w:numId w:val="18"/>
        </w:numPr>
        <w:pBdr/>
        <w:tabs>
          <w:tab w:val="left" w:leader="none" w:pos="0"/>
          <w:tab w:val="clear" w:leader="none" w:pos="720"/>
        </w:tabs>
        <w:spacing w:after="0" w:before="120"/>
        <w:ind w:hanging="993" w:left="993"/>
        <w:rPr>
          <w:rFonts w:eastAsia="Arial"/>
          <w:color w:val="000000"/>
          <w:sz w:val="24"/>
          <w:szCs w:val="24"/>
        </w:rPr>
      </w:pPr>
      <w:r>
        <w:rPr>
          <w:rFonts w:eastAsia="Arial"/>
          <w:color w:val="000000"/>
          <w:sz w:val="24"/>
          <w:szCs w:val="24"/>
        </w:rPr>
        <w:t xml:space="preserve">O Catálogo deverá ser apresentado juntamente com a Proposta de Preços.</w:t>
      </w:r>
      <w:r>
        <w:rPr>
          <w:rFonts w:eastAsia="Arial"/>
          <w:color w:val="000000"/>
          <w:sz w:val="24"/>
          <w:szCs w:val="24"/>
        </w:rPr>
      </w:r>
    </w:p>
    <w:p>
      <w:pPr>
        <w:pStyle w:val="1056"/>
        <w:keepNext w:val="true"/>
        <w:keepLines w:val="true"/>
        <w:numPr>
          <w:ilvl w:val="0"/>
          <w:numId w:val="18"/>
        </w:numPr>
        <w:pBdr/>
        <w:tabs>
          <w:tab w:val="left" w:leader="none" w:pos="0"/>
          <w:tab w:val="left" w:leader="none" w:pos="142"/>
          <w:tab w:val="clear" w:leader="none" w:pos="720"/>
        </w:tabs>
        <w:spacing w:after="288" w:before="288" w:line="312" w:lineRule="auto"/>
        <w:ind/>
        <w:rPr>
          <w:u w:val="single"/>
        </w:rPr>
      </w:pPr>
      <w:r/>
      <w:bookmarkStart w:id="24" w:name="bookmark=id.2bn6wsx"/>
      <w:r/>
      <w:bookmarkStart w:id="25" w:name="_heading=h.qsh70q"/>
      <w:r/>
      <w:bookmarkEnd w:id="24"/>
      <w:r/>
      <w:bookmarkEnd w:id="25"/>
      <w:r>
        <w:rPr>
          <w:rFonts w:eastAsia="Arial"/>
          <w:b/>
          <w:color w:val="000000"/>
          <w:sz w:val="24"/>
          <w:szCs w:val="24"/>
          <w:u w:val="single"/>
        </w:rPr>
        <w:t xml:space="preserve">DO PREENCHIMENTO DA PROPOSTA:</w:t>
      </w:r>
      <w:r>
        <w:rPr>
          <w:u w:val="single"/>
        </w:rPr>
      </w:r>
    </w:p>
    <w:p>
      <w:pPr>
        <w:pStyle w:val="1056"/>
        <w:numPr>
          <w:ilvl w:val="1"/>
          <w:numId w:val="18"/>
        </w:numPr>
        <w:pBdr/>
        <w:tabs>
          <w:tab w:val="left" w:leader="none" w:pos="426"/>
          <w:tab w:val="clear" w:leader="none" w:pos="720"/>
        </w:tabs>
        <w:spacing w:line="276" w:lineRule="auto"/>
        <w:ind w:firstLine="0" w:left="0"/>
        <w:rPr>
          <w:rFonts w:eastAsia="Arial"/>
          <w:color w:val="000000"/>
          <w:sz w:val="24"/>
          <w:szCs w:val="24"/>
        </w:rPr>
      </w:pPr>
      <w:r>
        <w:rPr>
          <w:rFonts w:eastAsia="Arial"/>
          <w:color w:val="000000"/>
          <w:sz w:val="24"/>
          <w:szCs w:val="24"/>
        </w:rPr>
        <w:t xml:space="preserve">O licitante deverá enviar sua proposta mediante o preenchimento, no sistema eletrônico, dos seguintes campos:</w:t>
      </w:r>
      <w:r>
        <w:rPr>
          <w:rFonts w:eastAsia="Arial"/>
          <w:color w:val="000000"/>
          <w:sz w:val="24"/>
          <w:szCs w:val="24"/>
        </w:rPr>
      </w:r>
    </w:p>
    <w:p>
      <w:pPr>
        <w:pStyle w:val="1056"/>
        <w:numPr>
          <w:ilvl w:val="2"/>
          <w:numId w:val="18"/>
        </w:numPr>
        <w:pBdr/>
        <w:tabs>
          <w:tab w:val="left" w:leader="none" w:pos="709"/>
          <w:tab w:val="clear" w:leader="none" w:pos="720"/>
        </w:tabs>
        <w:spacing w:line="276" w:lineRule="auto"/>
        <w:ind w:firstLine="0" w:left="0"/>
        <w:rPr>
          <w:rFonts w:eastAsia="Arial"/>
          <w:color w:val="000000"/>
          <w:sz w:val="24"/>
          <w:szCs w:val="24"/>
        </w:rPr>
      </w:pPr>
      <w:r>
        <w:rPr>
          <w:rFonts w:eastAsia="Arial"/>
          <w:color w:val="000000"/>
          <w:sz w:val="24"/>
          <w:szCs w:val="24"/>
        </w:rPr>
        <w:t xml:space="preserve">Valor unitário do item;</w:t>
      </w:r>
      <w:r>
        <w:rPr>
          <w:rFonts w:eastAsia="Arial"/>
          <w:color w:val="000000"/>
          <w:sz w:val="24"/>
          <w:szCs w:val="24"/>
        </w:rPr>
      </w:r>
    </w:p>
    <w:p>
      <w:pPr>
        <w:pStyle w:val="1056"/>
        <w:numPr>
          <w:ilvl w:val="2"/>
          <w:numId w:val="18"/>
        </w:numPr>
        <w:pBdr/>
        <w:spacing w:line="276" w:lineRule="auto"/>
        <w:ind w:firstLine="0" w:left="0"/>
        <w:rPr>
          <w:rFonts w:eastAsia="Arial"/>
          <w:color w:val="000000"/>
          <w:sz w:val="24"/>
          <w:szCs w:val="24"/>
        </w:rPr>
      </w:pPr>
      <w:r>
        <w:rPr>
          <w:rFonts w:eastAsia="Arial"/>
          <w:color w:val="000000"/>
          <w:sz w:val="24"/>
          <w:szCs w:val="24"/>
        </w:rPr>
        <w:t xml:space="preserve">Marca;</w:t>
      </w:r>
      <w:r>
        <w:rPr>
          <w:rFonts w:eastAsia="Arial"/>
          <w:color w:val="000000"/>
          <w:sz w:val="24"/>
          <w:szCs w:val="24"/>
        </w:rPr>
      </w:r>
    </w:p>
    <w:p>
      <w:pPr>
        <w:pStyle w:val="1056"/>
        <w:numPr>
          <w:ilvl w:val="2"/>
          <w:numId w:val="18"/>
        </w:numPr>
        <w:pBdr/>
        <w:tabs>
          <w:tab w:val="left" w:leader="none" w:pos="709"/>
          <w:tab w:val="clear" w:leader="none" w:pos="720"/>
          <w:tab w:val="left" w:leader="none" w:pos="993"/>
        </w:tabs>
        <w:spacing w:line="276" w:lineRule="auto"/>
        <w:ind w:firstLine="0" w:left="0"/>
        <w:rPr>
          <w:rFonts w:eastAsia="Arial"/>
          <w:i/>
          <w:color w:val="000000"/>
          <w:sz w:val="24"/>
          <w:szCs w:val="24"/>
        </w:rPr>
      </w:pPr>
      <w:r>
        <w:rPr>
          <w:rFonts w:eastAsia="Arial"/>
          <w:color w:val="000000"/>
          <w:sz w:val="24"/>
          <w:szCs w:val="24"/>
        </w:rPr>
        <w:t xml:space="preserve">Fabricante</w:t>
      </w:r>
      <w:r>
        <w:rPr>
          <w:rFonts w:eastAsia="Arial"/>
          <w:i/>
          <w:color w:val="000000"/>
          <w:sz w:val="24"/>
          <w:szCs w:val="24"/>
        </w:rPr>
        <w:t xml:space="preserve">; </w:t>
      </w:r>
      <w:r>
        <w:rPr>
          <w:rFonts w:eastAsia="Arial"/>
          <w:i/>
          <w:color w:val="000000"/>
          <w:sz w:val="24"/>
          <w:szCs w:val="24"/>
        </w:rPr>
      </w:r>
    </w:p>
    <w:p>
      <w:pPr>
        <w:pStyle w:val="1056"/>
        <w:numPr>
          <w:ilvl w:val="1"/>
          <w:numId w:val="18"/>
        </w:numPr>
        <w:pBdr/>
        <w:tabs>
          <w:tab w:val="left" w:leader="none" w:pos="567"/>
          <w:tab w:val="clear" w:leader="none" w:pos="720"/>
          <w:tab w:val="left" w:leader="none" w:pos="1276"/>
        </w:tabs>
        <w:spacing w:line="276" w:lineRule="auto"/>
        <w:ind w:firstLine="0" w:left="0"/>
        <w:rPr>
          <w:rFonts w:eastAsia="Arial"/>
          <w:color w:val="000000"/>
          <w:sz w:val="24"/>
          <w:szCs w:val="24"/>
        </w:rPr>
      </w:pPr>
      <w:r>
        <w:rPr>
          <w:rFonts w:eastAsia="Arial"/>
          <w:color w:val="000000"/>
          <w:sz w:val="24"/>
          <w:szCs w:val="24"/>
        </w:rPr>
        <w:t xml:space="preserve">Todas as especificações do objeto contidas na proposta vinculam o licitante.</w:t>
      </w:r>
      <w:r>
        <w:rPr>
          <w:rFonts w:eastAsia="Arial"/>
          <w:color w:val="000000"/>
          <w:sz w:val="24"/>
          <w:szCs w:val="24"/>
        </w:rPr>
      </w:r>
    </w:p>
    <w:p>
      <w:pPr>
        <w:pStyle w:val="1056"/>
        <w:numPr>
          <w:ilvl w:val="2"/>
          <w:numId w:val="18"/>
        </w:numPr>
        <w:pBdr/>
        <w:tabs>
          <w:tab w:val="clear" w:leader="none" w:pos="720"/>
          <w:tab w:val="left" w:leader="none" w:pos="993"/>
          <w:tab w:val="left" w:leader="none" w:pos="1276"/>
        </w:tabs>
        <w:spacing w:line="276" w:lineRule="auto"/>
        <w:ind w:firstLine="0" w:left="0"/>
        <w:rPr>
          <w:rFonts w:eastAsia="Arial"/>
          <w:b/>
          <w:color w:val="000000"/>
          <w:sz w:val="24"/>
          <w:szCs w:val="24"/>
        </w:rPr>
      </w:pPr>
      <w:r>
        <w:rPr>
          <w:rFonts w:eastAsia="Arial"/>
          <w:b/>
          <w:color w:val="000000"/>
          <w:sz w:val="24"/>
          <w:szCs w:val="24"/>
        </w:rPr>
        <w:t xml:space="preserve"> </w:t>
      </w:r>
      <w:r>
        <w:rPr>
          <w:rFonts w:eastAsia="Arial"/>
          <w:b/>
          <w:color w:val="000000"/>
          <w:sz w:val="24"/>
          <w:szCs w:val="24"/>
        </w:rPr>
        <w:t xml:space="preserve">O licitante NÃO poderá oferecer proposta em quantitativo inferior ao máximo previsto para contratação.</w:t>
      </w:r>
      <w:r>
        <w:rPr>
          <w:rFonts w:eastAsia="Arial"/>
          <w:b/>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Nos valores propostos estarão inclusos todos os custos operacionais, encargos previdenciários, trabalhistas, tributários, comerciais e quaisquer outros que incidam direta ou indiretamente na execução do objeto.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preços ofertados, tanto na proposta inicial, quanto na etapa de lances, serão de exclusiva responsabilidade do licitante, não lhe assistindo o direito de pleitear qualquer alteração, sob alegação de erro, omissão ou qualquer outro pretexto.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Se o regime tributário da empresa implicar o recolhimento de tributos em percentuais variáveis, a cotação adequada será a que corresponde à média dos efetivos recolhimentos da empresa nos últimos doze meses. </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Independentemente do percentual de tributo inserido na planilha, no pagamento serão retidos na fonte os percentuais estabelecidos na legislação vigente.</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Na presente licitação, a Microempresa e a Empresa de Pequeno Porte poderão se beneficiar do regime de tributação pelo Simples Nacional.</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apresentação das propostas implica obrigatoriedade do cumprimento das disposições nelas contidas, em conformidade com o que dispõe o Termo de Referência, assumindo o proponente o comprom</w:t>
      </w:r>
      <w:r>
        <w:rPr>
          <w:rFonts w:eastAsia="Arial"/>
          <w:color w:val="000000"/>
          <w:sz w:val="24"/>
          <w:szCs w:val="24"/>
        </w:rPr>
        <w:t xml:space="preserve">isso de executar o objeto licitado nos seus termos, bem como de fornecer os materiais, equipamentos, ferramentas e utensílios necessários, em quantidades e qualidades adequadas à perfeita execução contratual, promovendo, quando requerido, sua substituição.</w:t>
      </w:r>
      <w:r>
        <w:rPr>
          <w:rFonts w:eastAsia="Arial"/>
          <w:color w:val="000000"/>
          <w:sz w:val="24"/>
          <w:szCs w:val="24"/>
        </w:rPr>
      </w:r>
    </w:p>
    <w:p>
      <w:pPr>
        <w:pStyle w:val="1056"/>
        <w:numPr>
          <w:ilvl w:val="2"/>
          <w:numId w:val="18"/>
        </w:numPr>
        <w:pBdr/>
        <w:tabs>
          <w:tab w:val="clear" w:leader="none" w:pos="720"/>
          <w:tab w:val="left" w:leader="none" w:pos="851"/>
        </w:tabs>
        <w:spacing w:line="276" w:lineRule="auto"/>
        <w:ind w:firstLine="0" w:left="0"/>
        <w:rPr>
          <w:rFonts w:eastAsia="Arial"/>
          <w:color w:val="000000"/>
          <w:sz w:val="24"/>
          <w:szCs w:val="24"/>
        </w:rPr>
      </w:pPr>
      <w:r>
        <w:rPr>
          <w:rFonts w:eastAsia="Arial"/>
          <w:color w:val="000000"/>
          <w:sz w:val="24"/>
          <w:szCs w:val="24"/>
        </w:rPr>
        <w:t xml:space="preserve">O prazo de validade da proposta não será inferior a </w:t>
      </w:r>
      <w:r>
        <w:rPr>
          <w:rFonts w:eastAsia="Arial"/>
          <w:b/>
          <w:color w:val="000000"/>
          <w:sz w:val="24"/>
          <w:szCs w:val="24"/>
        </w:rPr>
        <w:t xml:space="preserve">60 (sessenta)</w:t>
      </w:r>
      <w:r>
        <w:rPr>
          <w:rFonts w:eastAsia="Arial"/>
          <w:color w:val="000000"/>
          <w:sz w:val="24"/>
          <w:szCs w:val="24"/>
        </w:rPr>
        <w:t xml:space="preserve"> dias</w:t>
      </w:r>
      <w:r>
        <w:rPr>
          <w:rFonts w:eastAsia="Arial"/>
          <w:b/>
          <w:color w:val="000000"/>
          <w:sz w:val="24"/>
          <w:szCs w:val="24"/>
        </w:rPr>
        <w:t xml:space="preserve">,</w:t>
      </w:r>
      <w:r>
        <w:rPr>
          <w:rFonts w:eastAsia="Arial"/>
          <w:color w:val="000000"/>
          <w:sz w:val="24"/>
          <w:szCs w:val="24"/>
        </w:rPr>
        <w:t xml:space="preserve"> a contar da data de sua apresentação.</w:t>
      </w:r>
      <w:r>
        <w:rPr>
          <w:rFonts w:eastAsia="Arial"/>
          <w:color w:val="000000"/>
          <w:sz w:val="24"/>
          <w:szCs w:val="24"/>
        </w:rPr>
      </w:r>
    </w:p>
    <w:p>
      <w:pPr>
        <w:pStyle w:val="1056"/>
        <w:numPr>
          <w:ilvl w:val="2"/>
          <w:numId w:val="18"/>
        </w:numPr>
        <w:pBdr/>
        <w:tabs>
          <w:tab w:val="clear" w:leader="none" w:pos="720"/>
          <w:tab w:val="left" w:leader="none" w:pos="851"/>
        </w:tabs>
        <w:spacing w:line="276" w:lineRule="auto"/>
        <w:ind w:firstLine="0" w:left="0"/>
        <w:rPr>
          <w:rFonts w:eastAsia="Arial"/>
          <w:color w:val="000000"/>
          <w:sz w:val="24"/>
          <w:szCs w:val="24"/>
        </w:rPr>
      </w:pPr>
      <w:r>
        <w:rPr>
          <w:rFonts w:eastAsia="Arial"/>
          <w:color w:val="000000"/>
          <w:sz w:val="24"/>
          <w:szCs w:val="24"/>
        </w:rPr>
        <w:t xml:space="preserve">Os licitantes devem respeitar os preços máximos estabelecidos nas normas de regência de contratações públicas federais, quando participarem de licitações públicas;</w:t>
      </w:r>
      <w:r>
        <w:rPr>
          <w:rFonts w:eastAsia="Arial"/>
          <w:color w:val="000000"/>
          <w:sz w:val="24"/>
          <w:szCs w:val="24"/>
        </w:rPr>
      </w:r>
    </w:p>
    <w:p>
      <w:pPr>
        <w:pStyle w:val="1056"/>
        <w:numPr>
          <w:ilvl w:val="2"/>
          <w:numId w:val="18"/>
        </w:numPr>
        <w:pBdr/>
        <w:tabs>
          <w:tab w:val="clear" w:leader="none" w:pos="720"/>
          <w:tab w:val="left" w:leader="none" w:pos="851"/>
        </w:tabs>
        <w:spacing w:line="276" w:lineRule="auto"/>
        <w:ind w:firstLine="0" w:left="0"/>
        <w:rPr>
          <w:rFonts w:eastAsia="Arial"/>
          <w:color w:val="000000"/>
          <w:sz w:val="24"/>
          <w:szCs w:val="24"/>
        </w:rPr>
      </w:pPr>
      <w:r>
        <w:rPr>
          <w:rFonts w:eastAsia="Arial"/>
          <w:color w:val="000000"/>
          <w:sz w:val="24"/>
          <w:szCs w:val="24"/>
        </w:rPr>
        <w:t xml:space="preserve">Caso o critério de julgamento seja o de maior desconto, o preço já decorrente da aplicação do desconto ofertado deverá respeitar os preços máximos previstos no item </w:t>
      </w:r>
      <w:r>
        <w:rPr>
          <w:rFonts w:eastAsia="Arial"/>
          <w:b/>
          <w:color w:val="000000"/>
          <w:sz w:val="24"/>
          <w:szCs w:val="24"/>
        </w:rPr>
        <w:t xml:space="preserve">8.8.2</w:t>
      </w:r>
      <w:r>
        <w:rPr>
          <w:rFonts w:eastAsia="Arial"/>
          <w:color w:val="000000"/>
          <w:sz w:val="24"/>
          <w:szCs w:val="24"/>
        </w:rPr>
        <w:t xml:space="preserve">.</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descumprimento das regras supramencionadas pela Administração por </w:t>
      </w:r>
      <w:r>
        <w:rPr>
          <w:rFonts w:eastAsia="Arial"/>
          <w:color w:val="000000"/>
          <w:sz w:val="24"/>
          <w:szCs w:val="24"/>
        </w:rPr>
        <w:t xml:space="preserve">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7" w:tooltip="https://www.planalto.gov.br/ccivil_03/constituicao/constituicaocompilado.htm" w:history="1">
        <w:r>
          <w:rPr>
            <w:rFonts w:eastAsia="Arial"/>
            <w:color w:val="000000"/>
            <w:sz w:val="24"/>
            <w:szCs w:val="24"/>
            <w:u w:val="single"/>
          </w:rPr>
          <w:t xml:space="preserve">art. 71, inciso IX, da Constituição</w:t>
        </w:r>
      </w:hyperlink>
      <w:r>
        <w:rPr>
          <w:rFonts w:eastAsia="Arial"/>
          <w:color w:val="000000"/>
          <w:sz w:val="24"/>
          <w:szCs w:val="24"/>
        </w:rPr>
        <w:t xml:space="preserve">; ou condenação dos agentes públicos responsáveis e da empresa contratada ao pagamento dos prejuízos ao erário, caso verificada a ocorrência de superfaturamento por sobrepreço na execução do contrato.</w:t>
      </w:r>
      <w:r>
        <w:rPr>
          <w:rFonts w:eastAsia="Arial"/>
          <w:color w:val="000000"/>
          <w:sz w:val="24"/>
          <w:szCs w:val="24"/>
        </w:rPr>
      </w:r>
    </w:p>
    <w:p>
      <w:pPr>
        <w:pStyle w:val="1056"/>
        <w:numPr>
          <w:ilvl w:val="0"/>
          <w:numId w:val="18"/>
        </w:numPr>
        <w:pBdr/>
        <w:tabs>
          <w:tab w:val="left" w:leader="none" w:pos="426"/>
          <w:tab w:val="clear" w:leader="none" w:pos="720"/>
        </w:tabs>
        <w:spacing w:after="240" w:before="480"/>
        <w:ind w:firstLine="0" w:left="0"/>
        <w:rPr>
          <w:rFonts w:eastAsia="Arial"/>
          <w:b/>
          <w:color w:val="000000"/>
          <w:sz w:val="24"/>
          <w:szCs w:val="24"/>
          <w:u w:val="single"/>
        </w:rPr>
      </w:pPr>
      <w:r/>
      <w:bookmarkStart w:id="26" w:name="_heading=h.3as4poj"/>
      <w:r/>
      <w:bookmarkEnd w:id="26"/>
      <w:r>
        <w:rPr>
          <w:rFonts w:eastAsia="Arial"/>
          <w:b/>
          <w:color w:val="000000"/>
          <w:sz w:val="24"/>
          <w:szCs w:val="24"/>
          <w:u w:val="single"/>
        </w:rPr>
        <w:t xml:space="preserve">DA ABERTURA DA SESSÃO, CLASSIFICAÇÃO DAS PROPOSTAS E FORMULAÇÃO DE LANCES:</w:t>
      </w:r>
      <w:r>
        <w:rPr>
          <w:rFonts w:eastAsia="Arial"/>
          <w:b/>
          <w:color w:val="000000"/>
          <w:sz w:val="24"/>
          <w:szCs w:val="24"/>
          <w:u w:val="single"/>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abertura da presente licitação dar-se-á automaticamente em sessão pública, por meio de sistema eletrônico, na data, horário e local indicados neste Edital.</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licitantes poderão retirar ou substituir a proposta ou os documentos de habilitação, quando for o caso, anteriormente inseridos no sistema, até a abertura da sessão pública.</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sistema disponibilizará campo próprio para troca de mensagens entre o Pregoeiro e os licitantes.</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Iniciada a etapa competitiva, os licitantes deverão encaminhar lances exclusivamente por meio de sistema eletrônico, sendo imediatamente informados do seu recebimento e do valor consignado no registro. </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lance deverá ser ofertado pelo valor unitário do item</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licitantes poderão oferecer lances sucessivos, observando o horário fixado para abertura da sessão e as regras estabelecidas no Edital.</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licitante somente poderá oferecer lance </w:t>
      </w:r>
      <w:r>
        <w:rPr>
          <w:rFonts w:eastAsia="Arial"/>
          <w:b/>
          <w:color w:val="000000"/>
          <w:sz w:val="24"/>
          <w:szCs w:val="24"/>
        </w:rPr>
        <w:t xml:space="preserve">de valor inferior </w:t>
      </w:r>
      <w:r>
        <w:rPr>
          <w:rFonts w:eastAsia="Arial"/>
          <w:color w:val="000000"/>
          <w:sz w:val="24"/>
          <w:szCs w:val="24"/>
        </w:rPr>
        <w:t xml:space="preserve">ao último por ele ofertado e registrado pelo sistema. </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intervalo mínimo de diferença de valores entre os lances, que incidirá tanto em relação aos lances intermediários quanto em relação à proposta que cobrir a melhor oferta deverá ser</w:t>
      </w:r>
      <w:r>
        <w:rPr>
          <w:rFonts w:eastAsia="Arial"/>
          <w:i/>
          <w:color w:val="000000"/>
          <w:sz w:val="24"/>
          <w:szCs w:val="24"/>
        </w:rPr>
        <w:t xml:space="preserve"> </w:t>
      </w:r>
      <w:r>
        <w:rPr>
          <w:rFonts w:eastAsia="Arial"/>
          <w:color w:val="000000"/>
          <w:sz w:val="24"/>
          <w:szCs w:val="24"/>
        </w:rPr>
        <w:t xml:space="preserve">conforme a tabela abaixo:</w:t>
      </w:r>
      <w:r>
        <w:rPr>
          <w:rFonts w:eastAsia="Arial"/>
          <w:color w:val="000000"/>
          <w:sz w:val="24"/>
          <w:szCs w:val="24"/>
        </w:rPr>
      </w:r>
    </w:p>
    <w:tbl>
      <w:tblPr>
        <w:tblStyle w:val="1382"/>
        <w:jc w:val="center"/>
        <w:tblInd w:w="0" w:type="dxa"/>
        <w:tblW w:w="6980" w:type="dxa"/>
        <w:tblCellMar>
          <w:left w:w="70" w:type="dxa"/>
          <w:top w:w="0" w:type="dxa"/>
          <w:right w:w="70" w:type="dxa"/>
          <w:bottom w:w="0" w:type="dxa"/>
        </w:tblCellMar>
        <w:tblBorders/>
        <w:tblLayout w:type="fixed"/>
        <w:tblLook w:val="0000" w:firstRow="0" w:lastRow="0" w:firstColumn="0" w:lastColumn="0" w:noHBand="0" w:noVBand="0"/>
      </w:tblPr>
      <w:tblGrid>
        <w:gridCol w:w="4814"/>
        <w:gridCol w:w="2166"/>
      </w:tblGrid>
      <w:tr>
        <w:trPr>
          <w:cantSplit/>
          <w:trHeight w:val="240"/>
        </w:trPr>
        <w:tc>
          <w:tcPr>
            <w:shd w:val="clear" w:color="auto" w:fill="d9d9d9"/>
            <w:tcBorders>
              <w:top w:val="single" w:color="000000" w:sz="4" w:space="0"/>
              <w:left w:val="single" w:color="000000" w:sz="4" w:space="0"/>
              <w:bottom w:val="single" w:color="000000" w:sz="4" w:space="0"/>
              <w:right w:val="single" w:color="000000" w:sz="4" w:space="0"/>
            </w:tcBorders>
            <w:tcW w:w="4814" w:type="dxa"/>
            <w:textDirection w:val="lrTb"/>
            <w:noWrap w:val="false"/>
          </w:tcPr>
          <w:p>
            <w:pPr>
              <w:pStyle w:val="1056"/>
              <w:widowControl w:val="true"/>
              <w:pBdr/>
              <w:spacing w:after="0" w:before="0"/>
              <w:ind/>
              <w:jc w:val="center"/>
              <w:rPr>
                <w:sz w:val="24"/>
                <w:szCs w:val="24"/>
              </w:rPr>
            </w:pPr>
            <w:r>
              <w:rPr>
                <w:rFonts w:cs="Arial"/>
                <w:b/>
                <w:sz w:val="24"/>
                <w:szCs w:val="24"/>
                <w:lang w:val="pt-BR" w:eastAsia="pt-BR" w:bidi="ar-SA"/>
              </w:rPr>
              <w:t xml:space="preserve">Intervalo Mínimo Entre Lances (R$)</w:t>
            </w:r>
            <w:r>
              <w:rPr>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2166" w:type="dxa"/>
            <w:textDirection w:val="lrTb"/>
            <w:noWrap w:val="false"/>
          </w:tcPr>
          <w:p>
            <w:pPr>
              <w:pStyle w:val="1056"/>
              <w:widowControl w:val="true"/>
              <w:pBdr/>
              <w:spacing w:after="0" w:before="0"/>
              <w:ind/>
              <w:jc w:val="center"/>
              <w:rPr>
                <w:b/>
                <w:sz w:val="24"/>
                <w:szCs w:val="24"/>
              </w:rPr>
            </w:pPr>
            <w:r>
              <w:rPr>
                <w:rFonts w:cs="Arial"/>
                <w:b/>
                <w:sz w:val="24"/>
                <w:szCs w:val="24"/>
                <w:lang w:val="pt-BR" w:eastAsia="pt-BR" w:bidi="ar-SA"/>
              </w:rPr>
              <w:t xml:space="preserve">Tipo de Variação</w:t>
            </w:r>
            <w:r>
              <w:rPr>
                <w:b/>
                <w:sz w:val="24"/>
                <w:szCs w:val="24"/>
              </w:rPr>
            </w:r>
          </w:p>
        </w:tc>
      </w:tr>
      <w:tr>
        <w:trPr>
          <w:cantSplit/>
          <w:trHeight w:val="240"/>
        </w:trPr>
        <w:tc>
          <w:tcPr>
            <w:tcBorders>
              <w:top w:val="single" w:color="000000" w:sz="4" w:space="0"/>
              <w:left w:val="single" w:color="000000" w:sz="4" w:space="0"/>
              <w:bottom w:val="single" w:color="000000" w:sz="4" w:space="0"/>
              <w:right w:val="single" w:color="000000" w:sz="4" w:space="0"/>
            </w:tcBorders>
            <w:tcW w:w="4814" w:type="dxa"/>
            <w:vAlign w:val="center"/>
            <w:textDirection w:val="lrTb"/>
            <w:noWrap w:val="false"/>
          </w:tcPr>
          <w:p>
            <w:pPr>
              <w:pStyle w:val="1056"/>
              <w:widowControl w:val="true"/>
              <w:pBdr/>
              <w:spacing w:after="0" w:before="0"/>
              <w:ind/>
              <w:jc w:val="center"/>
              <w:rPr>
                <w:b/>
                <w:sz w:val="24"/>
                <w:szCs w:val="24"/>
              </w:rPr>
            </w:pPr>
            <w:r>
              <w:rPr>
                <w:rFonts w:cs="Arial"/>
                <w:b/>
                <w:sz w:val="24"/>
                <w:szCs w:val="24"/>
                <w:lang w:val="pt-BR" w:eastAsia="pt-BR" w:bidi="ar-SA"/>
              </w:rPr>
              <w:t xml:space="preserve">0,01 com arredondamento de centavos</w:t>
            </w:r>
            <w:r>
              <w:rPr>
                <w:b/>
                <w:sz w:val="24"/>
                <w:szCs w:val="24"/>
              </w:rPr>
            </w:r>
          </w:p>
        </w:tc>
        <w:tc>
          <w:tcPr>
            <w:tcBorders>
              <w:top w:val="single" w:color="000000" w:sz="4" w:space="0"/>
              <w:left w:val="single" w:color="000000" w:sz="4" w:space="0"/>
              <w:bottom w:val="single" w:color="000000" w:sz="4" w:space="0"/>
              <w:right w:val="single" w:color="000000" w:sz="4" w:space="0"/>
            </w:tcBorders>
            <w:tcW w:w="2166" w:type="dxa"/>
            <w:vAlign w:val="center"/>
            <w:textDirection w:val="lrTb"/>
            <w:noWrap w:val="false"/>
          </w:tcPr>
          <w:p>
            <w:pPr>
              <w:pStyle w:val="1056"/>
              <w:widowControl w:val="true"/>
              <w:pBdr/>
              <w:spacing w:after="0" w:before="0"/>
              <w:ind/>
              <w:jc w:val="center"/>
              <w:rPr>
                <w:b/>
                <w:sz w:val="24"/>
                <w:szCs w:val="24"/>
              </w:rPr>
            </w:pPr>
            <w:r>
              <w:rPr>
                <w:rFonts w:cs="Arial"/>
                <w:b/>
                <w:sz w:val="24"/>
                <w:szCs w:val="24"/>
                <w:lang w:val="pt-BR" w:eastAsia="pt-BR" w:bidi="ar-SA"/>
              </w:rPr>
              <w:t xml:space="preserve">Monetário</w:t>
            </w:r>
            <w:r>
              <w:rPr>
                <w:b/>
                <w:sz w:val="24"/>
                <w:szCs w:val="24"/>
              </w:rPr>
            </w:r>
          </w:p>
        </w:tc>
      </w:tr>
    </w:tbl>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licitante poderá, uma única vez, excluir seu último lance ofertado, no intervalo de quinze segundos após o registro no sistema, na hipótese de lance inconsistente ou inexequível.</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procedimento seguirá de acordo com o modo de disputa adotado.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bookmarkStart w:id="27" w:name="_heading=h.1pxezwc"/>
      <w:r/>
      <w:bookmarkEnd w:id="27"/>
      <w:r>
        <w:rPr>
          <w:rFonts w:eastAsia="Arial"/>
          <w:color w:val="000000"/>
          <w:sz w:val="24"/>
          <w:szCs w:val="24"/>
        </w:rPr>
        <w:t xml:space="preserve">Caso seja adotado para o envio de lances no pregão eletrônico o modo de disputa “aberto”, os licitantes apresentarão lances públicos e sucessivos, com prorrogações.</w:t>
      </w:r>
      <w:r>
        <w:rPr>
          <w:rFonts w:eastAsia="Arial"/>
          <w:color w:val="000000"/>
          <w:sz w:val="24"/>
          <w:szCs w:val="24"/>
        </w:rPr>
      </w:r>
    </w:p>
    <w:p>
      <w:pPr>
        <w:pStyle w:val="1056"/>
        <w:numPr>
          <w:ilvl w:val="2"/>
          <w:numId w:val="18"/>
        </w:numPr>
        <w:pBdr/>
        <w:tabs>
          <w:tab w:val="clear" w:leader="none" w:pos="720"/>
          <w:tab w:val="left" w:leader="none" w:pos="1134"/>
          <w:tab w:val="left" w:leader="none" w:pos="1276"/>
          <w:tab w:val="left" w:leader="none" w:pos="2268"/>
        </w:tabs>
        <w:spacing w:line="276" w:lineRule="auto"/>
        <w:ind w:firstLine="0" w:left="0"/>
        <w:rPr>
          <w:rFonts w:eastAsia="Arial"/>
          <w:color w:val="000000"/>
          <w:sz w:val="24"/>
          <w:szCs w:val="24"/>
        </w:rPr>
      </w:pPr>
      <w:r/>
      <w:bookmarkStart w:id="28" w:name="_heading=h.49x2ik5"/>
      <w:r/>
      <w:bookmarkEnd w:id="28"/>
      <w:r>
        <w:rPr>
          <w:rFonts w:eastAsia="Arial"/>
          <w:color w:val="000000"/>
          <w:sz w:val="24"/>
          <w:szCs w:val="24"/>
        </w:rPr>
        <w:t xml:space="preserve">A etapa de lances da sessão pública terá duração de dez minutos e, após isso, será prorrogada automaticamente pelo sistema quando houver lance ofertado nos últimos dois minutos do período de duração da sessão pública.</w:t>
      </w:r>
      <w:r>
        <w:rPr>
          <w:rFonts w:eastAsia="Arial"/>
          <w:color w:val="000000"/>
          <w:sz w:val="24"/>
          <w:szCs w:val="24"/>
        </w:rPr>
      </w:r>
    </w:p>
    <w:p>
      <w:pPr>
        <w:pStyle w:val="1056"/>
        <w:numPr>
          <w:ilvl w:val="2"/>
          <w:numId w:val="18"/>
        </w:numPr>
        <w:pBdr/>
        <w:tabs>
          <w:tab w:val="clear" w:leader="none" w:pos="720"/>
          <w:tab w:val="left" w:leader="none" w:pos="1134"/>
          <w:tab w:val="left" w:leader="none" w:pos="1276"/>
          <w:tab w:val="left" w:leader="none" w:pos="2410"/>
        </w:tabs>
        <w:spacing w:line="276" w:lineRule="auto"/>
        <w:ind w:firstLine="0" w:left="0"/>
        <w:rPr>
          <w:rFonts w:eastAsia="Arial"/>
          <w:color w:val="000000"/>
          <w:sz w:val="24"/>
          <w:szCs w:val="24"/>
        </w:rPr>
      </w:pPr>
      <w:r>
        <w:rPr>
          <w:rFonts w:eastAsia="Arial"/>
          <w:color w:val="000000"/>
          <w:sz w:val="24"/>
          <w:szCs w:val="24"/>
        </w:rPr>
        <w:t xml:space="preserve">A prorrogação automática da etapa de lances, de que trata o subitem anterior, será de dois minutos e ocorrerá sucessivamente sempre que houver lances enviados nesse período de prorrogação, inclusive no caso de lances intermediários.</w:t>
      </w:r>
      <w:r>
        <w:rPr>
          <w:rFonts w:eastAsia="Arial"/>
          <w:color w:val="000000"/>
          <w:sz w:val="24"/>
          <w:szCs w:val="24"/>
        </w:rPr>
      </w:r>
    </w:p>
    <w:p>
      <w:pPr>
        <w:pStyle w:val="1056"/>
        <w:numPr>
          <w:ilvl w:val="2"/>
          <w:numId w:val="18"/>
        </w:numPr>
        <w:pBdr/>
        <w:tabs>
          <w:tab w:val="clear" w:leader="none" w:pos="720"/>
          <w:tab w:val="left" w:leader="none" w:pos="1134"/>
          <w:tab w:val="left" w:leader="none" w:pos="1276"/>
          <w:tab w:val="left" w:leader="none" w:pos="2410"/>
        </w:tabs>
        <w:spacing w:line="276" w:lineRule="auto"/>
        <w:ind w:firstLine="0" w:left="0"/>
        <w:rPr>
          <w:rFonts w:eastAsia="Arial"/>
          <w:color w:val="000000"/>
          <w:sz w:val="24"/>
          <w:szCs w:val="24"/>
        </w:rPr>
      </w:pPr>
      <w:r>
        <w:rPr>
          <w:rFonts w:eastAsia="Arial"/>
          <w:color w:val="000000"/>
          <w:sz w:val="24"/>
          <w:szCs w:val="24"/>
        </w:rPr>
        <w:t xml:space="preserve">Não havendo novos lances na forma estabelecida nos itens anteriores, a sessão pública encerrar-se-á automaticamente, e o sistema ordenará e divulgará os lances conforme a ordem final de classificação.</w:t>
      </w:r>
      <w:r>
        <w:rPr>
          <w:rFonts w:eastAsia="Arial"/>
          <w:color w:val="000000"/>
          <w:sz w:val="24"/>
          <w:szCs w:val="24"/>
        </w:rPr>
      </w:r>
    </w:p>
    <w:p>
      <w:pPr>
        <w:pStyle w:val="1056"/>
        <w:numPr>
          <w:ilvl w:val="2"/>
          <w:numId w:val="18"/>
        </w:numPr>
        <w:pBdr/>
        <w:tabs>
          <w:tab w:val="clear" w:leader="none" w:pos="720"/>
          <w:tab w:val="left" w:leader="none" w:pos="1134"/>
          <w:tab w:val="left" w:leader="none" w:pos="1276"/>
          <w:tab w:val="left" w:leader="none" w:pos="2410"/>
        </w:tabs>
        <w:spacing w:line="276" w:lineRule="auto"/>
        <w:ind w:firstLine="0" w:left="0"/>
        <w:rPr>
          <w:rFonts w:eastAsia="Arial"/>
          <w:color w:val="000000"/>
          <w:sz w:val="24"/>
          <w:szCs w:val="24"/>
        </w:rPr>
      </w:pPr>
      <w:r>
        <w:rPr>
          <w:rFonts w:eastAsia="Arial"/>
          <w:color w:val="000000"/>
          <w:sz w:val="24"/>
          <w:szCs w:val="24"/>
        </w:rPr>
        <w:t xml:space="preserve">Definida</w:t>
      </w:r>
      <w:r>
        <w:rPr>
          <w:rFonts w:eastAsia="Arial"/>
          <w:color w:val="000000"/>
          <w:sz w:val="24"/>
          <w:szCs w:val="24"/>
        </w:rPr>
        <w:t xml:space="preserve"> a melhor proposta, se a diferença em relação à proposta classificada em segundo lugar for de pelo menos 5% (cinco por cento), o pregoeiro, auxiliado pela equipe de apoio, poderá admitir o reinício da disputa aberta, para a definição das demais colocações.</w:t>
      </w:r>
      <w:r>
        <w:rPr>
          <w:rFonts w:eastAsia="Arial"/>
          <w:color w:val="000000"/>
          <w:sz w:val="24"/>
          <w:szCs w:val="24"/>
        </w:rPr>
      </w:r>
    </w:p>
    <w:p>
      <w:pPr>
        <w:pStyle w:val="1056"/>
        <w:numPr>
          <w:ilvl w:val="2"/>
          <w:numId w:val="18"/>
        </w:numPr>
        <w:pBdr/>
        <w:tabs>
          <w:tab w:val="clear" w:leader="none" w:pos="720"/>
          <w:tab w:val="left" w:leader="none" w:pos="1134"/>
          <w:tab w:val="left" w:leader="none" w:pos="1276"/>
          <w:tab w:val="left" w:leader="none" w:pos="2552"/>
        </w:tabs>
        <w:spacing w:line="276" w:lineRule="auto"/>
        <w:ind w:firstLine="0" w:left="0"/>
        <w:rPr>
          <w:rFonts w:eastAsia="Arial"/>
          <w:color w:val="000000"/>
          <w:sz w:val="24"/>
          <w:szCs w:val="24"/>
        </w:rPr>
      </w:pPr>
      <w:r/>
      <w:bookmarkStart w:id="29" w:name="_heading=h.2p2csry"/>
      <w:r/>
      <w:bookmarkEnd w:id="29"/>
      <w:r>
        <w:rPr>
          <w:rFonts w:eastAsia="Arial"/>
          <w:color w:val="000000"/>
          <w:sz w:val="24"/>
          <w:szCs w:val="24"/>
        </w:rPr>
        <w:t xml:space="preserve">Após o reinício previsto no item supra, os licitantes serão convocados para apresentar lances intermediários.</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Caso seja adotado para o envio de lances no pregão eletrônico o modo de disputa “aberto e fechado”, os licitantes apresentarão lances públicos e sucessivos, com lance final e fechado.</w:t>
      </w:r>
      <w:r>
        <w:rPr>
          <w:rFonts w:eastAsia="Arial"/>
          <w:color w:val="000000"/>
          <w:sz w:val="24"/>
          <w:szCs w:val="24"/>
        </w:rPr>
      </w:r>
    </w:p>
    <w:p>
      <w:pPr>
        <w:pStyle w:val="1056"/>
        <w:numPr>
          <w:ilvl w:val="2"/>
          <w:numId w:val="18"/>
        </w:numPr>
        <w:pBdr/>
        <w:tabs>
          <w:tab w:val="clear" w:leader="none" w:pos="720"/>
          <w:tab w:val="left" w:leader="none" w:pos="1134"/>
        </w:tabs>
        <w:spacing w:line="276" w:lineRule="auto"/>
        <w:ind w:firstLine="0" w:left="0"/>
        <w:rPr>
          <w:rFonts w:eastAsia="Arial"/>
          <w:color w:val="000000"/>
          <w:sz w:val="24"/>
          <w:szCs w:val="24"/>
        </w:rPr>
      </w:pPr>
      <w:r>
        <w:rPr>
          <w:rFonts w:eastAsia="Arial"/>
          <w:color w:val="000000"/>
          <w:sz w:val="24"/>
          <w:szCs w:val="24"/>
        </w:rPr>
        <w:t xml:space="preserve">A etapa de lances da sessão pública terá duração inicial de </w:t>
      </w:r>
      <w:r>
        <w:rPr>
          <w:rFonts w:eastAsia="Arial"/>
          <w:b/>
          <w:color w:val="000000"/>
          <w:sz w:val="24"/>
          <w:szCs w:val="24"/>
        </w:rPr>
        <w:t xml:space="preserve">15 (quinze) minutos</w:t>
      </w:r>
      <w:r>
        <w:rPr>
          <w:rFonts w:eastAsia="Arial"/>
          <w:color w:val="000000"/>
          <w:sz w:val="24"/>
          <w:szCs w:val="24"/>
        </w:rPr>
        <w:t xml:space="preserve">. Após esse prazo, o sistema encaminhará aviso de fechamento iminente dos lances, após o que transcorrerá o período de até </w:t>
      </w:r>
      <w:r>
        <w:rPr>
          <w:rFonts w:eastAsia="Arial"/>
          <w:b/>
          <w:color w:val="000000"/>
          <w:sz w:val="24"/>
          <w:szCs w:val="24"/>
        </w:rPr>
        <w:t xml:space="preserve">10 (dez) minutos</w:t>
      </w:r>
      <w:r>
        <w:rPr>
          <w:rFonts w:eastAsia="Arial"/>
          <w:color w:val="000000"/>
          <w:sz w:val="24"/>
          <w:szCs w:val="24"/>
        </w:rPr>
        <w:t xml:space="preserve">, aleatoriamente determinado, findo o qual será automaticamente encerrada a recepção de lances.</w:t>
      </w:r>
      <w:r>
        <w:rPr>
          <w:rFonts w:eastAsia="Arial"/>
          <w:color w:val="000000"/>
          <w:sz w:val="24"/>
          <w:szCs w:val="24"/>
        </w:rPr>
      </w:r>
    </w:p>
    <w:p>
      <w:pPr>
        <w:pStyle w:val="1056"/>
        <w:numPr>
          <w:ilvl w:val="2"/>
          <w:numId w:val="18"/>
        </w:numPr>
        <w:pBdr/>
        <w:tabs>
          <w:tab w:val="clear" w:leader="none" w:pos="720"/>
          <w:tab w:val="left" w:leader="none" w:pos="1134"/>
        </w:tabs>
        <w:spacing w:line="276" w:lineRule="auto"/>
        <w:ind w:firstLine="0" w:left="0"/>
        <w:rPr>
          <w:rFonts w:eastAsia="Arial"/>
          <w:color w:val="000000"/>
          <w:sz w:val="24"/>
          <w:szCs w:val="24"/>
        </w:rPr>
      </w:pPr>
      <w:r>
        <w:rPr>
          <w:rFonts w:eastAsia="Arial"/>
          <w:color w:val="000000"/>
          <w:sz w:val="24"/>
          <w:szCs w:val="24"/>
        </w:rPr>
        <w:t xml:space="preserve">Encerrado o prazo previsto no subitem anterior, o sistema abrirá oportunidade para que o autor da oferta de valor mais baixo e os das ofertas com preços </w:t>
      </w:r>
      <w:r>
        <w:rPr>
          <w:rFonts w:eastAsia="Arial"/>
          <w:b/>
          <w:color w:val="000000"/>
          <w:sz w:val="24"/>
          <w:szCs w:val="24"/>
        </w:rPr>
        <w:t xml:space="preserve">até 10% (dez por cento) superior àquela</w:t>
      </w:r>
      <w:r>
        <w:rPr>
          <w:rFonts w:eastAsia="Arial"/>
          <w:color w:val="000000"/>
          <w:sz w:val="24"/>
          <w:szCs w:val="24"/>
        </w:rPr>
        <w:t xml:space="preserve"> possam ofertar um lance final e fechado em até </w:t>
      </w:r>
      <w:r>
        <w:rPr>
          <w:rFonts w:eastAsia="Arial"/>
          <w:b/>
          <w:color w:val="000000"/>
          <w:sz w:val="24"/>
          <w:szCs w:val="24"/>
        </w:rPr>
        <w:t xml:space="preserve">05 (cinco) minutos</w:t>
      </w:r>
      <w:r>
        <w:rPr>
          <w:rFonts w:eastAsia="Arial"/>
          <w:color w:val="000000"/>
          <w:sz w:val="24"/>
          <w:szCs w:val="24"/>
        </w:rPr>
        <w:t xml:space="preserve">, o qual será sigiloso até o encerramento deste prazo.</w:t>
      </w:r>
      <w:r>
        <w:rPr>
          <w:rFonts w:eastAsia="Arial"/>
          <w:color w:val="000000"/>
          <w:sz w:val="24"/>
          <w:szCs w:val="24"/>
        </w:rPr>
      </w:r>
    </w:p>
    <w:p>
      <w:pPr>
        <w:pStyle w:val="1056"/>
        <w:numPr>
          <w:ilvl w:val="2"/>
          <w:numId w:val="18"/>
        </w:numPr>
        <w:pBdr/>
        <w:tabs>
          <w:tab w:val="clear" w:leader="none" w:pos="720"/>
          <w:tab w:val="left" w:leader="none" w:pos="851"/>
          <w:tab w:val="left" w:leader="none" w:pos="993"/>
        </w:tabs>
        <w:spacing w:line="276" w:lineRule="auto"/>
        <w:ind w:firstLine="0" w:left="0"/>
        <w:rPr>
          <w:rFonts w:eastAsia="Arial"/>
          <w:color w:val="000000"/>
          <w:sz w:val="24"/>
          <w:szCs w:val="24"/>
        </w:rPr>
      </w:pPr>
      <w:r>
        <w:rPr>
          <w:rFonts w:eastAsia="Arial"/>
          <w:color w:val="000000"/>
          <w:sz w:val="24"/>
          <w:szCs w:val="24"/>
        </w:rPr>
        <w:t xml:space="preserve">No procedimento de que trata o subitem supra, o licitante poderá optar por manter o seu último lance da etapa aberta, ou por ofertar melhor lance.</w:t>
      </w:r>
      <w:r>
        <w:rPr>
          <w:rFonts w:eastAsia="Arial"/>
          <w:color w:val="000000"/>
          <w:sz w:val="24"/>
          <w:szCs w:val="24"/>
        </w:rPr>
      </w:r>
    </w:p>
    <w:p>
      <w:pPr>
        <w:pStyle w:val="1056"/>
        <w:numPr>
          <w:ilvl w:val="2"/>
          <w:numId w:val="18"/>
        </w:numPr>
        <w:pBdr/>
        <w:tabs>
          <w:tab w:val="clear" w:leader="none" w:pos="720"/>
          <w:tab w:val="left" w:leader="none" w:pos="851"/>
          <w:tab w:val="left" w:leader="none" w:pos="993"/>
        </w:tabs>
        <w:spacing w:line="276" w:lineRule="auto"/>
        <w:ind w:firstLine="0" w:left="0"/>
        <w:rPr>
          <w:rFonts w:eastAsia="Arial"/>
          <w:color w:val="000000"/>
          <w:sz w:val="24"/>
          <w:szCs w:val="24"/>
        </w:rPr>
      </w:pPr>
      <w:r>
        <w:rPr>
          <w:rFonts w:eastAsia="Arial"/>
          <w:color w:val="000000"/>
          <w:sz w:val="24"/>
          <w:szCs w:val="24"/>
        </w:rPr>
        <w:t xml:space="preserve">Não havendo pelo menos trê</w:t>
      </w:r>
      <w:r>
        <w:rPr>
          <w:rFonts w:eastAsia="Arial"/>
          <w:color w:val="000000"/>
          <w:sz w:val="24"/>
          <w:szCs w:val="24"/>
        </w:rPr>
        <w:t xml:space="preserve">s ofertas nas condições definidas neste item, poderão os autores dos melhores lances subsequentes, na ordem de classificação, até o máximo de três, oferecer um lance final e fechado em até cinco minutos, o qual será sigiloso até o encerramento deste prazo.</w:t>
      </w:r>
      <w:r>
        <w:rPr>
          <w:rFonts w:eastAsia="Arial"/>
          <w:color w:val="000000"/>
          <w:sz w:val="24"/>
          <w:szCs w:val="24"/>
        </w:rPr>
      </w:r>
    </w:p>
    <w:p>
      <w:pPr>
        <w:pStyle w:val="1056"/>
        <w:numPr>
          <w:ilvl w:val="2"/>
          <w:numId w:val="18"/>
        </w:numPr>
        <w:pBdr/>
        <w:tabs>
          <w:tab w:val="clear" w:leader="none" w:pos="720"/>
          <w:tab w:val="left" w:leader="none" w:pos="1134"/>
        </w:tabs>
        <w:spacing w:line="276" w:lineRule="auto"/>
        <w:ind w:firstLine="0" w:left="0"/>
        <w:rPr>
          <w:rFonts w:eastAsia="Arial"/>
          <w:color w:val="000000"/>
          <w:sz w:val="24"/>
          <w:szCs w:val="24"/>
        </w:rPr>
      </w:pPr>
      <w:r/>
      <w:bookmarkStart w:id="30" w:name="_heading=h.147n2zr"/>
      <w:r/>
      <w:bookmarkEnd w:id="30"/>
      <w:r>
        <w:rPr>
          <w:rFonts w:eastAsia="Arial"/>
          <w:color w:val="000000"/>
          <w:sz w:val="24"/>
          <w:szCs w:val="24"/>
        </w:rPr>
        <w:t xml:space="preserve">Após o término dos prazos estabelecidos nos itens anteriores, o sistema ordenará e divulgará os lances segundo a ordem crescente de valores.</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bookmarkStart w:id="31" w:name="_heading=h.3o7alnk"/>
      <w:r/>
      <w:bookmarkEnd w:id="31"/>
      <w:r>
        <w:rPr>
          <w:rFonts w:eastAsia="Arial"/>
          <w:color w:val="000000"/>
          <w:sz w:val="24"/>
          <w:szCs w:val="24"/>
        </w:rPr>
        <w:t xml:space="preserve">Caso seja adotado para o envio de lances no pregão eletrônico o modo de disputa </w:t>
      </w:r>
      <w:r>
        <w:rPr>
          <w:rFonts w:eastAsia="Arial"/>
          <w:b/>
          <w:color w:val="000000"/>
          <w:sz w:val="24"/>
          <w:szCs w:val="24"/>
        </w:rPr>
        <w:t xml:space="preserve">“fechado e aberto”</w:t>
      </w:r>
      <w:r>
        <w:rPr>
          <w:rFonts w:eastAsia="Arial"/>
          <w:color w:val="000000"/>
          <w:sz w:val="24"/>
          <w:szCs w:val="24"/>
        </w:rPr>
        <w:t xml:space="preserve">, poderão participar da etapa aberta somente os licitantes que apre</w:t>
      </w:r>
      <w:r>
        <w:rPr>
          <w:rFonts w:eastAsia="Arial"/>
          <w:color w:val="000000"/>
          <w:sz w:val="24"/>
          <w:szCs w:val="24"/>
        </w:rPr>
        <w:t xml:space="preserve">sentarem a proposta de menor preço/ maior percentual de desconto e os das propostas até 10% (dez por cento) superiores/inferiores àquela, em que os licitantes apresentarão lances públicos e sucessivos, até o encerramento da sessão e eventuais prorrogações.</w:t>
      </w:r>
      <w:r>
        <w:rPr>
          <w:rFonts w:eastAsia="Arial"/>
          <w:color w:val="000000"/>
          <w:sz w:val="24"/>
          <w:szCs w:val="24"/>
        </w:rPr>
      </w:r>
    </w:p>
    <w:p>
      <w:pPr>
        <w:pStyle w:val="1056"/>
        <w:numPr>
          <w:ilvl w:val="2"/>
          <w:numId w:val="18"/>
        </w:numPr>
        <w:pBdr/>
        <w:tabs>
          <w:tab w:val="clear" w:leader="none" w:pos="720"/>
          <w:tab w:val="left" w:leader="none" w:pos="1134"/>
          <w:tab w:val="left" w:leader="none" w:pos="1276"/>
        </w:tabs>
        <w:spacing w:line="276" w:lineRule="auto"/>
        <w:ind w:firstLine="0" w:left="0"/>
        <w:rPr>
          <w:rFonts w:eastAsia="Arial"/>
          <w:color w:val="000000"/>
          <w:sz w:val="24"/>
          <w:szCs w:val="24"/>
        </w:rPr>
      </w:pPr>
      <w:r>
        <w:rPr>
          <w:rFonts w:eastAsia="Arial"/>
          <w:color w:val="000000"/>
          <w:sz w:val="24"/>
          <w:szCs w:val="24"/>
        </w:rPr>
        <w:t xml:space="preserve">Não havendo pelo menos 03 (três) propostas nas condições definidas no </w:t>
      </w:r>
      <w:r>
        <w:rPr>
          <w:rFonts w:eastAsia="Arial"/>
          <w:b/>
          <w:color w:val="000000"/>
          <w:sz w:val="24"/>
          <w:szCs w:val="24"/>
        </w:rPr>
        <w:t xml:space="preserve">item 9.13</w:t>
      </w:r>
      <w:r>
        <w:rPr>
          <w:rFonts w:eastAsia="Arial"/>
          <w:color w:val="000000"/>
          <w:sz w:val="24"/>
          <w:szCs w:val="24"/>
        </w:rPr>
        <w:t xml:space="preserve">, poderão os licitantes que apresentaram as três melhores propostas, consideradas as empatadas, oferecer novos lances sucessivos.</w:t>
      </w:r>
      <w:r>
        <w:rPr>
          <w:rFonts w:eastAsia="Arial"/>
          <w:color w:val="000000"/>
          <w:sz w:val="24"/>
          <w:szCs w:val="24"/>
        </w:rPr>
      </w:r>
    </w:p>
    <w:p>
      <w:pPr>
        <w:pStyle w:val="1056"/>
        <w:numPr>
          <w:ilvl w:val="2"/>
          <w:numId w:val="18"/>
        </w:numPr>
        <w:pBdr/>
        <w:tabs>
          <w:tab w:val="clear" w:leader="none" w:pos="720"/>
          <w:tab w:val="left" w:leader="none" w:pos="1134"/>
          <w:tab w:val="left" w:leader="none" w:pos="1276"/>
        </w:tabs>
        <w:spacing w:line="276" w:lineRule="auto"/>
        <w:ind w:firstLine="0" w:left="0"/>
        <w:rPr>
          <w:rFonts w:eastAsia="Arial"/>
          <w:color w:val="000000"/>
          <w:sz w:val="24"/>
          <w:szCs w:val="24"/>
        </w:rPr>
      </w:pPr>
      <w:r>
        <w:rPr>
          <w:rFonts w:eastAsia="Arial"/>
          <w:color w:val="000000"/>
          <w:sz w:val="24"/>
          <w:szCs w:val="24"/>
        </w:rPr>
        <w:t xml:space="preserve">A etapa de lances da sessão pública terá duração de </w:t>
      </w:r>
      <w:r>
        <w:rPr>
          <w:rFonts w:eastAsia="Arial"/>
          <w:b/>
          <w:color w:val="000000"/>
          <w:sz w:val="24"/>
          <w:szCs w:val="24"/>
        </w:rPr>
        <w:t xml:space="preserve">10 (dez) minutos</w:t>
      </w:r>
      <w:r>
        <w:rPr>
          <w:rFonts w:eastAsia="Arial"/>
          <w:color w:val="000000"/>
          <w:sz w:val="24"/>
          <w:szCs w:val="24"/>
        </w:rPr>
        <w:t xml:space="preserve"> e, após isso, será prorrogada automaticamente pelo sistema quando houver lance ofertado nos últimos </w:t>
      </w:r>
      <w:r>
        <w:rPr>
          <w:rFonts w:eastAsia="Arial"/>
          <w:b/>
          <w:color w:val="000000"/>
          <w:sz w:val="24"/>
          <w:szCs w:val="24"/>
        </w:rPr>
        <w:t xml:space="preserve">02 (dois) minutos</w:t>
      </w:r>
      <w:r>
        <w:rPr>
          <w:rFonts w:eastAsia="Arial"/>
          <w:color w:val="000000"/>
          <w:sz w:val="24"/>
          <w:szCs w:val="24"/>
        </w:rPr>
        <w:t xml:space="preserve"> do período de duração da sessão pública.</w:t>
      </w:r>
      <w:r>
        <w:rPr>
          <w:rFonts w:eastAsia="Arial"/>
          <w:color w:val="000000"/>
          <w:sz w:val="24"/>
          <w:szCs w:val="24"/>
        </w:rPr>
      </w:r>
    </w:p>
    <w:p>
      <w:pPr>
        <w:pStyle w:val="1056"/>
        <w:numPr>
          <w:ilvl w:val="2"/>
          <w:numId w:val="18"/>
        </w:numPr>
        <w:pBdr/>
        <w:tabs>
          <w:tab w:val="clear" w:leader="none" w:pos="720"/>
          <w:tab w:val="left" w:leader="none" w:pos="1134"/>
          <w:tab w:val="left" w:leader="none" w:pos="1276"/>
        </w:tabs>
        <w:spacing w:line="276" w:lineRule="auto"/>
        <w:ind w:firstLine="0" w:left="0"/>
        <w:rPr>
          <w:rFonts w:eastAsia="Arial"/>
          <w:color w:val="000000"/>
          <w:sz w:val="24"/>
          <w:szCs w:val="24"/>
        </w:rPr>
      </w:pPr>
      <w:r>
        <w:rPr>
          <w:rFonts w:eastAsia="Arial"/>
          <w:color w:val="000000"/>
          <w:sz w:val="24"/>
          <w:szCs w:val="24"/>
        </w:rPr>
        <w:t xml:space="preserve">A prorrogação automática da etapa de lances, de que trata o subitem anterior, será de dois minutos e ocorrerá sucessivamente sempre que houver lances enviados nesse período de prorrogação, inclusive no caso de lances intermediários.</w:t>
      </w:r>
      <w:r>
        <w:rPr>
          <w:rFonts w:eastAsia="Arial"/>
          <w:color w:val="000000"/>
          <w:sz w:val="24"/>
          <w:szCs w:val="24"/>
        </w:rPr>
      </w:r>
    </w:p>
    <w:p>
      <w:pPr>
        <w:pStyle w:val="1056"/>
        <w:numPr>
          <w:ilvl w:val="2"/>
          <w:numId w:val="18"/>
        </w:numPr>
        <w:pBdr/>
        <w:tabs>
          <w:tab w:val="clear" w:leader="none" w:pos="720"/>
          <w:tab w:val="left" w:leader="none" w:pos="1134"/>
          <w:tab w:val="left" w:leader="none" w:pos="1276"/>
        </w:tabs>
        <w:spacing w:line="276" w:lineRule="auto"/>
        <w:ind w:firstLine="0" w:left="0"/>
        <w:rPr>
          <w:rFonts w:eastAsia="Arial"/>
          <w:color w:val="000000"/>
          <w:sz w:val="24"/>
          <w:szCs w:val="24"/>
        </w:rPr>
      </w:pPr>
      <w:r>
        <w:rPr>
          <w:rFonts w:eastAsia="Arial"/>
          <w:color w:val="000000"/>
          <w:sz w:val="24"/>
          <w:szCs w:val="24"/>
        </w:rPr>
        <w:t xml:space="preserve">Não havendo novos lances na forma estabelecida nos itens anteriores, a sessão pública encerrar-se-á automaticamente, e o sistema ordenará e divulgará os lances conforme a ordem final de classificação.</w:t>
      </w:r>
      <w:r>
        <w:rPr>
          <w:rFonts w:eastAsia="Arial"/>
          <w:color w:val="000000"/>
          <w:sz w:val="24"/>
          <w:szCs w:val="24"/>
        </w:rPr>
      </w:r>
    </w:p>
    <w:p>
      <w:pPr>
        <w:pStyle w:val="1056"/>
        <w:numPr>
          <w:ilvl w:val="2"/>
          <w:numId w:val="18"/>
        </w:numPr>
        <w:pBdr/>
        <w:tabs>
          <w:tab w:val="clear" w:leader="none" w:pos="720"/>
          <w:tab w:val="left" w:leader="none" w:pos="1134"/>
          <w:tab w:val="left" w:leader="none" w:pos="1276"/>
        </w:tabs>
        <w:spacing w:line="276" w:lineRule="auto"/>
        <w:ind w:firstLine="0" w:left="0"/>
        <w:rPr>
          <w:rFonts w:eastAsia="Arial"/>
          <w:color w:val="000000"/>
          <w:sz w:val="24"/>
          <w:szCs w:val="24"/>
        </w:rPr>
      </w:pPr>
      <w:r>
        <w:rPr>
          <w:rFonts w:eastAsia="Arial"/>
          <w:color w:val="000000"/>
          <w:sz w:val="24"/>
          <w:szCs w:val="24"/>
        </w:rPr>
        <w:t xml:space="preserve">Definida a melhor proposta, se a diferença em relação à proposta classificada em segundo lugar for de pelo </w:t>
      </w:r>
      <w:r>
        <w:rPr>
          <w:rFonts w:eastAsia="Arial"/>
          <w:b/>
          <w:color w:val="000000"/>
          <w:sz w:val="24"/>
          <w:szCs w:val="24"/>
        </w:rPr>
        <w:t xml:space="preserve">menos 5% (cinco por cento)</w:t>
      </w:r>
      <w:r>
        <w:rPr>
          <w:rFonts w:eastAsia="Arial"/>
          <w:color w:val="000000"/>
          <w:sz w:val="24"/>
          <w:szCs w:val="24"/>
        </w:rPr>
        <w:t xml:space="preserve">, o pregoeiro, auxiliado pela equipe de apoio, poderá admitir o reinício da disputa aberta, para a definição das demais colocações.</w:t>
      </w:r>
      <w:r>
        <w:rPr>
          <w:rFonts w:eastAsia="Arial"/>
          <w:color w:val="000000"/>
          <w:sz w:val="24"/>
          <w:szCs w:val="24"/>
        </w:rPr>
      </w:r>
    </w:p>
    <w:p>
      <w:pPr>
        <w:pStyle w:val="1056"/>
        <w:numPr>
          <w:ilvl w:val="2"/>
          <w:numId w:val="18"/>
        </w:numPr>
        <w:pBdr/>
        <w:tabs>
          <w:tab w:val="clear" w:leader="none" w:pos="720"/>
          <w:tab w:val="left" w:leader="none" w:pos="851"/>
          <w:tab w:val="left" w:leader="none" w:pos="993"/>
        </w:tabs>
        <w:spacing w:line="276" w:lineRule="auto"/>
        <w:ind w:firstLine="0" w:left="0"/>
        <w:rPr>
          <w:rFonts w:eastAsia="Arial"/>
          <w:color w:val="000000"/>
          <w:sz w:val="24"/>
          <w:szCs w:val="24"/>
        </w:rPr>
      </w:pPr>
      <w:r>
        <w:rPr>
          <w:rFonts w:eastAsia="Arial"/>
          <w:color w:val="000000"/>
          <w:sz w:val="24"/>
          <w:szCs w:val="24"/>
        </w:rPr>
        <w:t xml:space="preserve">Após o reinício previsto no subitem supra, os licitantes serão convocados para apresentar lances intermediários.  </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Após o término dos prazos estabelecidos nos subitens anteriores, o sistema ordenará e divulgará os lances segundo a ordem crescente de valores.</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b/>
          <w:color w:val="000000"/>
          <w:sz w:val="24"/>
          <w:szCs w:val="24"/>
        </w:rPr>
        <w:t xml:space="preserve">Não serão aceitos dois ou mais lances de mesmo valor, prevalecendo aquele que for recebido e registrado em primeiro lugar</w:t>
      </w:r>
      <w:r>
        <w:rPr>
          <w:rFonts w:eastAsia="Arial"/>
          <w:color w:val="000000"/>
          <w:sz w:val="24"/>
          <w:szCs w:val="24"/>
        </w:rPr>
        <w:t xml:space="preserve">. </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Durante o transcurso da sessão pública, os licitantes serão informados, em tempo real, do valor do menor lance registrado, vedada a identificação do licitante. </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No caso de </w:t>
      </w:r>
      <w:r>
        <w:rPr>
          <w:rFonts w:eastAsia="Arial"/>
          <w:b/>
          <w:color w:val="000000"/>
          <w:sz w:val="24"/>
          <w:szCs w:val="24"/>
        </w:rPr>
        <w:t xml:space="preserve">desconexão com o Pregoeiro</w:t>
      </w:r>
      <w:r>
        <w:rPr>
          <w:rFonts w:eastAsia="Arial"/>
          <w:color w:val="000000"/>
          <w:sz w:val="24"/>
          <w:szCs w:val="24"/>
        </w:rPr>
        <w:t xml:space="preserve">, no decorrer da etapa competitiva do Pregão, o sistema eletrônico poderá permanecer acessível aos licitantes para a recepção dos lances. </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Quando a desconexão do sistema eletrônico para o pregoeiro persistir por tempo superior a </w:t>
      </w:r>
      <w:r>
        <w:rPr>
          <w:rFonts w:eastAsia="Arial"/>
          <w:b/>
          <w:color w:val="000000"/>
          <w:sz w:val="24"/>
          <w:szCs w:val="24"/>
        </w:rPr>
        <w:t xml:space="preserve">10 (dez) minutos</w:t>
      </w:r>
      <w:r>
        <w:rPr>
          <w:rFonts w:eastAsia="Arial"/>
          <w:color w:val="000000"/>
          <w:sz w:val="24"/>
          <w:szCs w:val="24"/>
        </w:rPr>
        <w:t xml:space="preserve">, a sessão pública será suspensa e reiniciada somente após decorridas </w:t>
      </w:r>
      <w:r>
        <w:rPr>
          <w:rFonts w:eastAsia="Arial"/>
          <w:b/>
          <w:color w:val="000000"/>
          <w:sz w:val="24"/>
          <w:szCs w:val="24"/>
        </w:rPr>
        <w:t xml:space="preserve">24 (vinte e quatro) horas</w:t>
      </w:r>
      <w:r>
        <w:rPr>
          <w:rFonts w:eastAsia="Arial"/>
          <w:color w:val="000000"/>
          <w:sz w:val="24"/>
          <w:szCs w:val="24"/>
        </w:rPr>
        <w:t xml:space="preserve"> da comunicação do fato pelo Pregoeiro aos participantes, no sítio eletrônico utilizado para divulgação.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Caso o licitante não apresente lances, concorrerá com o valor de sua proposta.</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Em relação a </w:t>
      </w:r>
      <w:r>
        <w:rPr>
          <w:rFonts w:eastAsia="Arial"/>
          <w:b/>
          <w:color w:val="000000"/>
          <w:sz w:val="24"/>
          <w:szCs w:val="24"/>
        </w:rPr>
        <w:t xml:space="preserve">itens não exclusivos para participação de microempresas e empresas de pequeno porte</w:t>
      </w:r>
      <w:r>
        <w:rPr>
          <w:rFonts w:eastAsia="Arial"/>
          <w:color w:val="000000"/>
          <w:sz w:val="24"/>
          <w:szCs w:val="24"/>
        </w:rPr>
        <w:t xml:space="preserve">, uma vez encerrada a etapa de lances, será efetivada a verificação automática, junto à Receita Federal, do porte da entidade empresarial. O sistema identific</w:t>
      </w:r>
      <w:r>
        <w:rPr>
          <w:rFonts w:eastAsia="Arial"/>
          <w:color w:val="000000"/>
          <w:sz w:val="24"/>
          <w:szCs w:val="24"/>
        </w:rPr>
        <w:t xml:space="preserve">ará em coluna própria as microempresas e empresas de pequeno porte participantes, procedendo à comparação com os valores da primeira colocada, se esta for empresa de maior porte, assim como das demais classificadas, para o fim de aplicar-se o disposto nos </w:t>
      </w:r>
      <w:r>
        <w:fldChar w:fldCharType="begin"/>
      </w:r>
      <w:r>
        <w:rPr>
          <w:rFonts w:eastAsia="Arial"/>
          <w:color w:val="000000"/>
          <w:sz w:val="24"/>
          <w:szCs w:val="24"/>
          <w:u w:val="single"/>
        </w:rPr>
        <w:instrText xml:space="preserve"> HYPERLINK "https://www.planalto.gov.br/ccivil_03/leis/lcp/lcp123.htm" \l "art44"</w:instrText>
      </w:r>
      <w:r>
        <w:rPr>
          <w:rFonts w:eastAsia="Arial"/>
          <w:color w:val="000000"/>
          <w:sz w:val="24"/>
          <w:szCs w:val="24"/>
          <w:u w:val="single"/>
        </w:rPr>
        <w:fldChar w:fldCharType="separate"/>
      </w:r>
      <w:r>
        <w:rPr>
          <w:rFonts w:eastAsia="Arial"/>
          <w:color w:val="000000"/>
          <w:sz w:val="24"/>
          <w:szCs w:val="24"/>
          <w:u w:val="single"/>
        </w:rPr>
        <w:t xml:space="preserve">arts. 44 e 45 da Lei Complementar nº 123, de 2006</w:t>
      </w:r>
      <w:r>
        <w:rPr>
          <w:rFonts w:eastAsia="Arial"/>
          <w:color w:val="000000"/>
          <w:sz w:val="24"/>
          <w:szCs w:val="24"/>
          <w:u w:val="single"/>
        </w:rPr>
        <w:fldChar w:fldCharType="end"/>
      </w:r>
      <w:r>
        <w:rPr>
          <w:rFonts w:eastAsia="Arial"/>
          <w:color w:val="000000"/>
          <w:sz w:val="24"/>
          <w:szCs w:val="24"/>
        </w:rPr>
        <w:t xml:space="preserve">, regulamentada pelo </w:t>
      </w:r>
      <w:hyperlink r:id="rId28" w:tooltip="https://www.planalto.gov.br/ccivil_03/_ato2015-2018/2015/decreto/d8539.htm" w:history="1">
        <w:r>
          <w:rPr>
            <w:rFonts w:eastAsia="Arial"/>
            <w:color w:val="000000"/>
            <w:sz w:val="24"/>
            <w:szCs w:val="24"/>
            <w:u w:val="single"/>
          </w:rPr>
          <w:t xml:space="preserve">Decreto nº 8.538, de 2015</w:t>
        </w:r>
      </w:hyperlink>
      <w:r>
        <w:rPr>
          <w:rFonts w:eastAsia="Arial"/>
          <w:color w:val="000000"/>
          <w:sz w:val="24"/>
          <w:szCs w:val="24"/>
        </w:rPr>
        <w:t xml:space="preserve">.</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Nessas condições, as propostas de microempresas e empresas de pequeno porte que se encontrarem na faixa de até 5% (cinco por cento) acima da melhor proposta ou melhor lance serão consideradas empatadas com a primeira colocada.</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A melhor classificada nos termos do subitem anterior terá o direito de encaminhar uma última oferta para desempate, obrigatoriamente em valor inferior ao da primeira colocada, no prazo de </w:t>
      </w:r>
      <w:r>
        <w:rPr>
          <w:rFonts w:eastAsia="Arial"/>
          <w:b/>
          <w:color w:val="000000"/>
          <w:sz w:val="24"/>
          <w:szCs w:val="24"/>
        </w:rPr>
        <w:t xml:space="preserve">05 (cinco) minutos</w:t>
      </w:r>
      <w:r>
        <w:rPr>
          <w:rFonts w:eastAsia="Arial"/>
          <w:color w:val="000000"/>
          <w:sz w:val="24"/>
          <w:szCs w:val="24"/>
        </w:rPr>
        <w:t xml:space="preserve"> controlados pelo sistema, contados após a comunicação automática para tanto.</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Caso a microempresa ou a empresa de pequeno porte melhor classificada desista ou não se manifeste no prazo </w:t>
      </w:r>
      <w:r>
        <w:rPr>
          <w:rFonts w:eastAsia="Arial"/>
          <w:color w:val="000000"/>
          <w:sz w:val="24"/>
          <w:szCs w:val="24"/>
        </w:rPr>
        <w:t xml:space="preserve">estabelecido, serão convocadas as demais licitantes microempresa e empresa de pequeno porte que se encontrem naquele intervalo de 5% (cinco por cento), na ordem de classificação, para o exercício do mesmo direito, no prazo estabelecido no subitem anterior.</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No caso de equivalência dos valores apresentados pelas microempresas e empresas de pequeno porte que se encontrem nos intervalos estabelecidos nos subitens anteriores, será realizado </w:t>
      </w:r>
      <w:r>
        <w:rPr>
          <w:rFonts w:eastAsia="Arial"/>
          <w:b/>
          <w:color w:val="000000"/>
          <w:sz w:val="24"/>
          <w:szCs w:val="24"/>
        </w:rPr>
        <w:t xml:space="preserve">sorteio </w:t>
      </w:r>
      <w:r>
        <w:rPr>
          <w:rFonts w:eastAsia="Arial"/>
          <w:color w:val="000000"/>
          <w:sz w:val="24"/>
          <w:szCs w:val="24"/>
        </w:rPr>
        <w:t xml:space="preserve">entre elas para que se identifique aquela que primeiro poderá apresentar melhor oferta.</w:t>
      </w:r>
      <w:r>
        <w:rPr>
          <w:rFonts w:eastAsia="Arial"/>
          <w:color w:val="000000"/>
          <w:sz w:val="24"/>
          <w:szCs w:val="24"/>
        </w:rPr>
      </w:r>
    </w:p>
    <w:p>
      <w:pPr>
        <w:pStyle w:val="1056"/>
        <w:numPr>
          <w:ilvl w:val="1"/>
          <w:numId w:val="18"/>
        </w:numPr>
        <w:pBdr/>
        <w:spacing w:line="276" w:lineRule="auto"/>
        <w:ind w:right="-2" w:firstLine="0" w:left="0"/>
        <w:rPr>
          <w:rFonts w:eastAsia="Arial"/>
          <w:color w:val="000000"/>
          <w:sz w:val="24"/>
          <w:szCs w:val="24"/>
        </w:rPr>
      </w:pPr>
      <w:r>
        <w:rPr>
          <w:rFonts w:eastAsia="Arial"/>
          <w:color w:val="000000"/>
          <w:sz w:val="24"/>
          <w:szCs w:val="24"/>
        </w:rPr>
        <w:t xml:space="preserve">Só poderá haver empate entre propostas iguais (não seguidas de lances), ou entre lances finais da fase fechada do modo de disputa aberto e fechado. </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Havendo eventual empate entre propostas ou lances, o </w:t>
      </w:r>
      <w:r>
        <w:rPr>
          <w:rFonts w:eastAsia="Arial"/>
          <w:b/>
          <w:color w:val="000000"/>
          <w:sz w:val="24"/>
          <w:szCs w:val="24"/>
        </w:rPr>
        <w:t xml:space="preserve">critério de desempate</w:t>
      </w:r>
      <w:r>
        <w:rPr>
          <w:rFonts w:eastAsia="Arial"/>
          <w:color w:val="000000"/>
          <w:sz w:val="24"/>
          <w:szCs w:val="24"/>
        </w:rPr>
        <w:t xml:space="preserve"> será aquele previsto no </w:t>
      </w:r>
      <w:r>
        <w:fldChar w:fldCharType="begin"/>
      </w:r>
      <w:r>
        <w:rPr>
          <w:rFonts w:eastAsia="Arial"/>
          <w:color w:val="000000"/>
          <w:sz w:val="24"/>
          <w:szCs w:val="24"/>
          <w:u w:val="single"/>
        </w:rPr>
        <w:instrText xml:space="preserve"> HYPERLINK "http://www.planalto.gov.br/ccivil_03/_ato2019-2022/2021/lei/L14133.htm" \l "art60"</w:instrText>
      </w:r>
      <w:r>
        <w:rPr>
          <w:rFonts w:eastAsia="Arial"/>
          <w:color w:val="000000"/>
          <w:sz w:val="24"/>
          <w:szCs w:val="24"/>
          <w:u w:val="single"/>
        </w:rPr>
        <w:fldChar w:fldCharType="separate"/>
      </w:r>
      <w:r>
        <w:rPr>
          <w:rFonts w:eastAsia="Arial"/>
          <w:color w:val="000000"/>
          <w:sz w:val="24"/>
          <w:szCs w:val="24"/>
          <w:u w:val="single"/>
        </w:rPr>
        <w:t xml:space="preserve">art</w:t>
      </w:r>
      <w:r>
        <w:rPr>
          <w:rFonts w:eastAsia="Arial"/>
          <w:color w:val="000000"/>
          <w:sz w:val="24"/>
          <w:szCs w:val="24"/>
          <w:u w:val="single"/>
        </w:rPr>
        <w:fldChar w:fldCharType="end"/>
      </w:r>
      <w:r>
        <w:rPr>
          <w:rFonts w:eastAsia="Arial"/>
          <w:color w:val="000000"/>
          <w:sz w:val="24"/>
          <w:szCs w:val="24"/>
          <w:u w:val="single"/>
        </w:rPr>
        <w:t xml:space="preserve">. 60 da Lei nº 14.133, de 2021</w:t>
      </w:r>
      <w:r>
        <w:rPr>
          <w:rFonts w:eastAsia="Arial"/>
          <w:color w:val="000000"/>
          <w:sz w:val="24"/>
          <w:szCs w:val="24"/>
        </w:rPr>
        <w:t xml:space="preserve">, nesta ordem:</w:t>
      </w:r>
      <w:r>
        <w:rPr>
          <w:rFonts w:eastAsia="Arial"/>
          <w:color w:val="000000"/>
          <w:sz w:val="24"/>
          <w:szCs w:val="24"/>
        </w:rPr>
      </w:r>
    </w:p>
    <w:p>
      <w:pPr>
        <w:pStyle w:val="1056"/>
        <w:pBdr/>
        <w:spacing/>
        <w:ind/>
        <w:rPr>
          <w:rFonts w:eastAsia="Arial"/>
          <w:color w:val="000000"/>
          <w:sz w:val="24"/>
          <w:szCs w:val="24"/>
        </w:rPr>
      </w:pPr>
      <w:r>
        <w:rPr>
          <w:rFonts w:eastAsia="Arial"/>
          <w:color w:val="000000"/>
          <w:sz w:val="24"/>
          <w:szCs w:val="24"/>
        </w:rPr>
        <w:t xml:space="preserve">disputa final, hipótese em que os licitantes empatados poderão apresentar nova proposta em ato contínuo à classificação;</w:t>
      </w:r>
      <w:r>
        <w:rPr>
          <w:rFonts w:eastAsia="Arial"/>
          <w:color w:val="000000"/>
          <w:sz w:val="24"/>
          <w:szCs w:val="24"/>
        </w:rPr>
      </w:r>
    </w:p>
    <w:p>
      <w:pPr>
        <w:pStyle w:val="1056"/>
        <w:numPr>
          <w:ilvl w:val="3"/>
          <w:numId w:val="18"/>
        </w:numPr>
        <w:pBdr/>
        <w:spacing w:line="276" w:lineRule="auto"/>
        <w:ind w:firstLine="0" w:left="0"/>
        <w:rPr>
          <w:rFonts w:eastAsia="Arial"/>
          <w:color w:val="000000"/>
          <w:sz w:val="24"/>
          <w:szCs w:val="24"/>
        </w:rPr>
      </w:pPr>
      <w:r>
        <w:rPr>
          <w:rFonts w:eastAsia="Arial"/>
          <w:color w:val="000000"/>
          <w:sz w:val="24"/>
          <w:szCs w:val="24"/>
        </w:rPr>
        <w:t xml:space="preserve">avaliação do desempenho contratual prévio dos licitantes, para a qual deverão preferencialmente ser utilizados registros cadastrais para efeito de atesto de cumprimento de obrigações previstos nesta Lei;</w:t>
      </w:r>
      <w:r>
        <w:rPr>
          <w:rFonts w:eastAsia="Arial"/>
          <w:color w:val="000000"/>
          <w:sz w:val="24"/>
          <w:szCs w:val="24"/>
        </w:rPr>
      </w:r>
    </w:p>
    <w:p>
      <w:pPr>
        <w:pStyle w:val="1056"/>
        <w:numPr>
          <w:ilvl w:val="3"/>
          <w:numId w:val="18"/>
        </w:numPr>
        <w:pBdr/>
        <w:spacing w:line="276" w:lineRule="auto"/>
        <w:ind w:firstLine="0" w:left="0"/>
        <w:rPr>
          <w:rFonts w:eastAsia="Arial"/>
          <w:color w:val="000000"/>
          <w:sz w:val="24"/>
          <w:szCs w:val="24"/>
        </w:rPr>
      </w:pPr>
      <w:r>
        <w:rPr>
          <w:rFonts w:eastAsia="Arial"/>
          <w:color w:val="000000"/>
          <w:sz w:val="24"/>
          <w:szCs w:val="24"/>
        </w:rPr>
        <w:t xml:space="preserve">desenvolvimento pelo licitante de ações de equidade entre homens e mulheres no ambiente de trabalho, conforme regulamento;</w:t>
      </w:r>
      <w:r>
        <w:rPr>
          <w:rFonts w:eastAsia="Arial"/>
          <w:color w:val="000000"/>
          <w:sz w:val="24"/>
          <w:szCs w:val="24"/>
        </w:rPr>
      </w:r>
    </w:p>
    <w:p>
      <w:pPr>
        <w:pStyle w:val="1056"/>
        <w:numPr>
          <w:ilvl w:val="3"/>
          <w:numId w:val="18"/>
        </w:numPr>
        <w:pBdr/>
        <w:spacing w:line="276" w:lineRule="auto"/>
        <w:ind w:firstLine="0" w:left="0"/>
        <w:rPr>
          <w:rFonts w:eastAsia="Arial"/>
          <w:color w:val="000000"/>
          <w:sz w:val="24"/>
          <w:szCs w:val="24"/>
        </w:rPr>
      </w:pPr>
      <w:r>
        <w:rPr>
          <w:rFonts w:eastAsia="Arial"/>
          <w:color w:val="000000"/>
          <w:sz w:val="24"/>
          <w:szCs w:val="24"/>
        </w:rPr>
        <w:t xml:space="preserve">desenvolvimento pelo licitante de programa de integridade, conforme orientações dos órgãos de controle.</w:t>
      </w:r>
      <w:r>
        <w:rPr>
          <w:rFonts w:eastAsia="Arial"/>
          <w:color w:val="000000"/>
          <w:sz w:val="24"/>
          <w:szCs w:val="24"/>
        </w:rPr>
      </w:r>
    </w:p>
    <w:p>
      <w:pPr>
        <w:pStyle w:val="1056"/>
        <w:numPr>
          <w:ilvl w:val="2"/>
          <w:numId w:val="18"/>
        </w:numPr>
        <w:pBdr/>
        <w:tabs>
          <w:tab w:val="clear" w:leader="none" w:pos="720"/>
          <w:tab w:val="left" w:leader="none" w:pos="993"/>
          <w:tab w:val="left" w:leader="none" w:pos="1418"/>
        </w:tabs>
        <w:spacing w:line="276" w:lineRule="auto"/>
        <w:ind w:firstLine="0" w:left="0"/>
        <w:rPr>
          <w:rFonts w:eastAsia="Arial"/>
          <w:b/>
          <w:color w:val="000000"/>
          <w:sz w:val="24"/>
          <w:szCs w:val="24"/>
        </w:rPr>
      </w:pPr>
      <w:r>
        <w:rPr>
          <w:rFonts w:eastAsia="Arial"/>
          <w:b/>
          <w:color w:val="000000"/>
          <w:sz w:val="24"/>
          <w:szCs w:val="24"/>
        </w:rPr>
        <w:t xml:space="preserve">Persistindo o empate, será assegurada preferência, sucessivamente, aos bens e serviços produzidos ou prestados por:</w:t>
      </w:r>
      <w:r>
        <w:rPr>
          <w:rFonts w:eastAsia="Arial"/>
          <w:b/>
          <w:color w:val="000000"/>
          <w:sz w:val="24"/>
          <w:szCs w:val="24"/>
        </w:rPr>
      </w:r>
    </w:p>
    <w:p>
      <w:pPr>
        <w:pStyle w:val="1056"/>
        <w:pBdr/>
        <w:spacing/>
        <w:ind/>
        <w:rPr>
          <w:rFonts w:eastAsia="Arial"/>
          <w:color w:val="000000"/>
          <w:sz w:val="24"/>
          <w:szCs w:val="24"/>
        </w:rPr>
      </w:pPr>
      <w:r/>
      <w:bookmarkStart w:id="32" w:name="bookmark=id.23ckvvd"/>
      <w:r/>
      <w:bookmarkEnd w:id="32"/>
      <w:r>
        <w:rPr>
          <w:rFonts w:eastAsia="Arial"/>
          <w:color w:val="000000"/>
          <w:sz w:val="24"/>
          <w:szCs w:val="24"/>
        </w:rPr>
        <w:t xml:space="preserve">empresas es</w:t>
      </w:r>
      <w:r>
        <w:rPr>
          <w:rFonts w:eastAsia="Arial"/>
          <w:color w:val="000000"/>
          <w:sz w:val="24"/>
          <w:szCs w:val="24"/>
        </w:rPr>
        <w:t xml:space="preserve">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eastAsia="Arial"/>
          <w:color w:val="000000"/>
          <w:sz w:val="24"/>
          <w:szCs w:val="24"/>
        </w:rPr>
      </w:r>
    </w:p>
    <w:p>
      <w:pPr>
        <w:pStyle w:val="1056"/>
        <w:numPr>
          <w:ilvl w:val="3"/>
          <w:numId w:val="18"/>
        </w:numPr>
        <w:pBdr/>
        <w:spacing w:line="276" w:lineRule="auto"/>
        <w:ind w:firstLine="0" w:left="0"/>
        <w:rPr>
          <w:rFonts w:eastAsia="Arial"/>
          <w:color w:val="000000"/>
          <w:sz w:val="24"/>
          <w:szCs w:val="24"/>
        </w:rPr>
      </w:pPr>
      <w:r/>
      <w:bookmarkStart w:id="33" w:name="bookmark=id.ihv636"/>
      <w:r/>
      <w:bookmarkEnd w:id="33"/>
      <w:r>
        <w:rPr>
          <w:rFonts w:eastAsia="Arial"/>
          <w:color w:val="000000"/>
          <w:sz w:val="24"/>
          <w:szCs w:val="24"/>
        </w:rPr>
        <w:t xml:space="preserve">empresas brasileiras;</w:t>
      </w:r>
      <w:r>
        <w:rPr>
          <w:rFonts w:eastAsia="Arial"/>
          <w:color w:val="000000"/>
          <w:sz w:val="24"/>
          <w:szCs w:val="24"/>
        </w:rPr>
      </w:r>
    </w:p>
    <w:p>
      <w:pPr>
        <w:pStyle w:val="1056"/>
        <w:numPr>
          <w:ilvl w:val="3"/>
          <w:numId w:val="18"/>
        </w:numPr>
        <w:pBdr/>
        <w:spacing w:line="276" w:lineRule="auto"/>
        <w:ind w:firstLine="0" w:left="0"/>
        <w:rPr>
          <w:rFonts w:eastAsia="Arial"/>
          <w:color w:val="000000"/>
          <w:sz w:val="24"/>
          <w:szCs w:val="24"/>
        </w:rPr>
      </w:pPr>
      <w:r/>
      <w:bookmarkStart w:id="34" w:name="bookmark=id.32hioqz"/>
      <w:r/>
      <w:bookmarkEnd w:id="34"/>
      <w:r>
        <w:rPr>
          <w:rFonts w:eastAsia="Arial"/>
          <w:color w:val="000000"/>
          <w:sz w:val="24"/>
          <w:szCs w:val="24"/>
        </w:rPr>
        <w:t xml:space="preserve">empresas que invistam em pesquisa e no desenvolvimento de tecnologia no País;</w:t>
      </w:r>
      <w:r>
        <w:rPr>
          <w:rFonts w:eastAsia="Arial"/>
          <w:color w:val="000000"/>
          <w:sz w:val="24"/>
          <w:szCs w:val="24"/>
        </w:rPr>
      </w:r>
    </w:p>
    <w:p>
      <w:pPr>
        <w:pStyle w:val="1056"/>
        <w:numPr>
          <w:ilvl w:val="3"/>
          <w:numId w:val="18"/>
        </w:numPr>
        <w:pBdr/>
        <w:spacing w:line="276" w:lineRule="auto"/>
        <w:ind w:firstLine="0" w:left="0"/>
        <w:rPr>
          <w:rFonts w:eastAsia="Arial"/>
          <w:color w:val="000000"/>
          <w:sz w:val="24"/>
          <w:szCs w:val="24"/>
        </w:rPr>
      </w:pPr>
      <w:r/>
      <w:bookmarkStart w:id="35" w:name="bookmark=id.1hmsyys"/>
      <w:r/>
      <w:bookmarkEnd w:id="35"/>
      <w:r>
        <w:rPr>
          <w:rFonts w:eastAsia="Arial"/>
          <w:color w:val="000000"/>
          <w:sz w:val="24"/>
          <w:szCs w:val="24"/>
        </w:rPr>
        <w:t xml:space="preserve">empresas que comprovem a prática de mitigação, nos termos da </w:t>
      </w:r>
      <w:r>
        <w:fldChar w:fldCharType="begin"/>
      </w:r>
      <w:r>
        <w:rPr>
          <w:rFonts w:eastAsia="Arial"/>
          <w:color w:val="000000"/>
          <w:sz w:val="24"/>
          <w:szCs w:val="24"/>
          <w:u w:val="single"/>
        </w:rPr>
        <w:instrText xml:space="preserve"> HYPERLI</w:instrText>
      </w:r>
      <w:r>
        <w:rPr>
          <w:rFonts w:eastAsia="Arial"/>
          <w:color w:val="000000"/>
          <w:sz w:val="24"/>
          <w:szCs w:val="24"/>
          <w:u w:val="single"/>
        </w:rPr>
        <w:instrText xml:space="preserve">NK "https://www.planalto.gov.br/ccivil_03/_ato2007-2010/2009/lei/l12187.htm" \l ":~:text=LEI%20N%C2%BA%2012.187%2C%20DE%2029%20DE%20DEZEMBRO%20DE%202009.&amp;text=Institui%20a%20Pol%C3%ADtica%20Nacional%20sobre,PNMC%20e%20d%C3%A1%20outras%20provid%C3%AAncias."</w:instrText>
      </w:r>
      <w:r>
        <w:rPr>
          <w:rFonts w:eastAsia="Arial"/>
          <w:color w:val="000000"/>
          <w:sz w:val="24"/>
          <w:szCs w:val="24"/>
          <w:u w:val="single"/>
        </w:rPr>
        <w:fldChar w:fldCharType="separate"/>
      </w:r>
      <w:r>
        <w:rPr>
          <w:rFonts w:eastAsia="Arial"/>
          <w:color w:val="000000"/>
          <w:sz w:val="24"/>
          <w:szCs w:val="24"/>
          <w:u w:val="single"/>
        </w:rPr>
        <w:t xml:space="preserve">Lei nº 12.187, de 29 de dezembro de 2009</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Encerrada a etapa de envio de lances da sessão pública, na hipótese da </w:t>
      </w:r>
      <w:r>
        <w:rPr>
          <w:rFonts w:eastAsia="Arial"/>
          <w:b/>
          <w:color w:val="000000"/>
          <w:sz w:val="24"/>
          <w:szCs w:val="24"/>
        </w:rPr>
        <w:t xml:space="preserve">proposta do primeiro colocado permanecer acima do preço máximo ou inferior ao desconto </w:t>
      </w:r>
      <w:r>
        <w:rPr>
          <w:rFonts w:eastAsia="Arial"/>
          <w:color w:val="000000"/>
          <w:sz w:val="24"/>
          <w:szCs w:val="24"/>
        </w:rPr>
        <w:t xml:space="preserve">definido para a contratação, o </w:t>
      </w:r>
      <w:r>
        <w:rPr>
          <w:rFonts w:eastAsia="Arial"/>
          <w:b/>
          <w:color w:val="000000"/>
          <w:sz w:val="24"/>
          <w:szCs w:val="24"/>
        </w:rPr>
        <w:t xml:space="preserve">pregoeiro poderá negociar condições mais vantajosas, após definido o resultado do julgamento</w:t>
      </w:r>
      <w:r>
        <w:rPr>
          <w:rFonts w:eastAsia="Arial"/>
          <w:color w:val="000000"/>
          <w:sz w:val="24"/>
          <w:szCs w:val="24"/>
        </w:rPr>
        <w:t xml:space="preserve">.</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A negociação poderá</w:t>
      </w:r>
      <w:r>
        <w:rPr>
          <w:rFonts w:eastAsia="Arial"/>
          <w:color w:val="000000"/>
          <w:sz w:val="24"/>
          <w:szCs w:val="24"/>
        </w:rPr>
        <w:t xml:space="preserve">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A negociação será realizada por meio do sistema, podendo ser acompanhada pelos demais licitantes.</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O resultado da negociação será divulgado a todos os licitantes e anexado aos autos do processo licitatório.</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bookmarkStart w:id="36" w:name="_heading=h.41mghml"/>
      <w:r/>
      <w:bookmarkEnd w:id="36"/>
      <w:r>
        <w:rPr>
          <w:rFonts w:eastAsia="Arial"/>
          <w:color w:val="000000"/>
          <w:sz w:val="24"/>
          <w:szCs w:val="24"/>
        </w:rPr>
        <w:t xml:space="preserve">O pregoeiro solicitará ao licitante mais bem classificado que, no prazo de </w:t>
      </w:r>
      <w:r>
        <w:rPr>
          <w:rFonts w:eastAsia="Arial"/>
          <w:b/>
          <w:color w:val="000000"/>
          <w:sz w:val="24"/>
          <w:szCs w:val="24"/>
        </w:rPr>
        <w:t xml:space="preserve">02 (duas) horas</w:t>
      </w:r>
      <w:r>
        <w:rPr>
          <w:rFonts w:eastAsia="Arial"/>
          <w:color w:val="000000"/>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É </w:t>
      </w:r>
      <w:r>
        <w:rPr>
          <w:rFonts w:eastAsia="Arial"/>
          <w:b/>
          <w:color w:val="000000"/>
          <w:sz w:val="24"/>
          <w:szCs w:val="24"/>
        </w:rPr>
        <w:t xml:space="preserve">facultado ao pregoeiro prorrogar</w:t>
      </w:r>
      <w:r>
        <w:rPr>
          <w:rFonts w:eastAsia="Arial"/>
          <w:color w:val="000000"/>
          <w:sz w:val="24"/>
          <w:szCs w:val="24"/>
        </w:rPr>
        <w:t xml:space="preserve"> o prazo estabelecido, a partir de solicitação fundamentada feita no chat pelo licitante, antes de findo o prazo.</w:t>
      </w:r>
      <w:r>
        <w:rPr>
          <w:rFonts w:eastAsia="Arial"/>
          <w:color w:val="000000"/>
          <w:sz w:val="24"/>
          <w:szCs w:val="24"/>
        </w:rPr>
      </w:r>
    </w:p>
    <w:p>
      <w:pPr>
        <w:pStyle w:val="1056"/>
        <w:numPr>
          <w:ilvl w:val="1"/>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Após a negociação do preço, o Pregoeiro iniciará a fase de aceitação e julgamento da proposta.</w:t>
      </w:r>
      <w:r>
        <w:rPr>
          <w:rFonts w:eastAsia="Arial"/>
          <w:color w:val="000000"/>
          <w:sz w:val="24"/>
          <w:szCs w:val="24"/>
        </w:rPr>
      </w:r>
    </w:p>
    <w:p>
      <w:pPr>
        <w:pStyle w:val="1056"/>
        <w:pBdr/>
        <w:tabs>
          <w:tab w:val="clear" w:leader="none" w:pos="720"/>
          <w:tab w:val="left" w:leader="none" w:pos="993"/>
        </w:tabs>
        <w:spacing w:line="276" w:lineRule="auto"/>
        <w:ind/>
        <w:rPr>
          <w:rFonts w:eastAsia="Arial"/>
          <w:color w:val="000000"/>
          <w:sz w:val="24"/>
          <w:szCs w:val="24"/>
        </w:rPr>
      </w:pPr>
      <w:r>
        <w:rPr>
          <w:rFonts w:eastAsia="Arial"/>
          <w:color w:val="000000"/>
          <w:sz w:val="24"/>
          <w:szCs w:val="24"/>
        </w:rPr>
      </w:r>
      <w:r>
        <w:rPr>
          <w:rFonts w:eastAsia="Arial"/>
          <w:color w:val="000000"/>
          <w:sz w:val="24"/>
          <w:szCs w:val="24"/>
        </w:rPr>
      </w:r>
    </w:p>
    <w:p>
      <w:pPr>
        <w:pStyle w:val="1056"/>
        <w:numPr>
          <w:ilvl w:val="0"/>
          <w:numId w:val="18"/>
        </w:numPr>
        <w:pBdr/>
        <w:spacing w:after="0" w:before="0"/>
        <w:ind w:firstLine="0" w:left="0"/>
        <w:rPr>
          <w:rFonts w:eastAsia="Arial"/>
          <w:b/>
          <w:color w:val="000000"/>
          <w:sz w:val="24"/>
          <w:szCs w:val="24"/>
          <w:u w:val="single"/>
        </w:rPr>
      </w:pPr>
      <w:r/>
      <w:bookmarkStart w:id="37" w:name="bookmark=id.2grqrue"/>
      <w:r/>
      <w:bookmarkStart w:id="38" w:name="_heading=h.vx1227"/>
      <w:r/>
      <w:bookmarkEnd w:id="37"/>
      <w:r/>
      <w:bookmarkEnd w:id="38"/>
      <w:r>
        <w:rPr>
          <w:rFonts w:eastAsia="Arial"/>
          <w:b/>
          <w:color w:val="000000"/>
          <w:sz w:val="24"/>
          <w:szCs w:val="24"/>
          <w:u w:val="single"/>
        </w:rPr>
        <w:t xml:space="preserve">DA FASE DE JULGAMENTO:</w:t>
      </w:r>
      <w:r>
        <w:rPr>
          <w:rFonts w:eastAsia="Arial"/>
          <w:b/>
          <w:color w:val="000000"/>
          <w:sz w:val="24"/>
          <w:szCs w:val="24"/>
          <w:u w:val="single"/>
        </w:rPr>
      </w:r>
    </w:p>
    <w:p>
      <w:pPr>
        <w:pStyle w:val="1056"/>
        <w:pBdr/>
        <w:spacing w:after="0" w:before="0"/>
        <w:ind w:left="-142"/>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p>
    <w:p>
      <w:pPr>
        <w:pStyle w:val="1056"/>
        <w:numPr>
          <w:ilvl w:val="1"/>
          <w:numId w:val="18"/>
        </w:numPr>
        <w:pBdr/>
        <w:spacing w:after="0" w:before="0"/>
        <w:ind w:firstLine="0" w:left="0"/>
        <w:rPr>
          <w:rFonts w:eastAsia="Arial"/>
          <w:b/>
          <w:color w:val="000000"/>
          <w:sz w:val="24"/>
          <w:szCs w:val="24"/>
          <w:u w:val="single"/>
        </w:rPr>
      </w:pPr>
      <w:r>
        <w:rPr>
          <w:rFonts w:eastAsia="Arial"/>
          <w:b/>
          <w:color w:val="000000"/>
          <w:sz w:val="24"/>
          <w:szCs w:val="24"/>
        </w:rPr>
        <w:t xml:space="preserve">Encerrada a etapa de negociação</w:t>
      </w:r>
      <w:r>
        <w:rPr>
          <w:rFonts w:eastAsia="Arial"/>
          <w:color w:val="000000"/>
          <w:sz w:val="24"/>
          <w:szCs w:val="24"/>
        </w:rPr>
        <w:t xml:space="preserve">, o pregoeiro verificará se o licitante provisoriamente classificado em primeiro lugar atende às condições de participação no certame, conforme previsto no </w:t>
      </w:r>
      <w:r>
        <w:fldChar w:fldCharType="begin"/>
      </w:r>
      <w:r>
        <w:rPr>
          <w:rFonts w:eastAsia="Arial"/>
          <w:color w:val="000000"/>
          <w:sz w:val="24"/>
          <w:szCs w:val="24"/>
          <w:u w:val="single"/>
        </w:rPr>
        <w:instrText xml:space="preserve"> HYPERLINK "http://www.planalto.gov.br/ccivil_03/_ato2019-2022/2021/lei/L14133.htm" \l "art14"</w:instrText>
      </w:r>
      <w:r>
        <w:rPr>
          <w:rFonts w:eastAsia="Arial"/>
          <w:color w:val="000000"/>
          <w:sz w:val="24"/>
          <w:szCs w:val="24"/>
          <w:u w:val="single"/>
        </w:rPr>
        <w:fldChar w:fldCharType="separate"/>
      </w:r>
      <w:r>
        <w:rPr>
          <w:rFonts w:eastAsia="Arial"/>
          <w:color w:val="000000"/>
          <w:sz w:val="24"/>
          <w:szCs w:val="24"/>
          <w:u w:val="single"/>
        </w:rPr>
        <w:t xml:space="preserve">art. 14 da Lei nº 14.133/2021</w:t>
      </w:r>
      <w:r>
        <w:rPr>
          <w:rFonts w:eastAsia="Arial"/>
          <w:color w:val="000000"/>
          <w:sz w:val="24"/>
          <w:szCs w:val="24"/>
          <w:u w:val="single"/>
        </w:rPr>
        <w:fldChar w:fldCharType="end"/>
      </w:r>
      <w:r>
        <w:rPr>
          <w:rFonts w:eastAsia="Arial"/>
          <w:color w:val="000000"/>
          <w:sz w:val="24"/>
          <w:szCs w:val="24"/>
        </w:rPr>
        <w:t xml:space="preserve">, legislação correlata e no </w:t>
      </w:r>
      <w:r>
        <w:rPr>
          <w:rFonts w:eastAsia="Arial"/>
          <w:b/>
          <w:color w:val="000000"/>
          <w:sz w:val="24"/>
          <w:szCs w:val="24"/>
        </w:rPr>
        <w:t xml:space="preserve">item 6.6</w:t>
      </w:r>
      <w:r>
        <w:rPr>
          <w:rFonts w:eastAsia="Arial"/>
          <w:color w:val="000000"/>
          <w:sz w:val="24"/>
          <w:szCs w:val="24"/>
        </w:rPr>
        <w:t xml:space="preserve"> do edital, especialmente quanto à existência de sanção que impeça a participação no certame ou a futura contratação, mediante a consulta aos seguintes cadastros:</w:t>
      </w:r>
      <w:r>
        <w:rPr>
          <w:rFonts w:eastAsia="Arial"/>
          <w:b/>
          <w:color w:val="000000"/>
          <w:sz w:val="24"/>
          <w:szCs w:val="24"/>
          <w:u w:val="single"/>
        </w:rPr>
      </w:r>
    </w:p>
    <w:p>
      <w:pPr>
        <w:pStyle w:val="1056"/>
        <w:numPr>
          <w:ilvl w:val="2"/>
          <w:numId w:val="18"/>
        </w:numPr>
        <w:pBdr/>
        <w:tabs>
          <w:tab w:val="clear" w:leader="none" w:pos="720"/>
          <w:tab w:val="left" w:leader="none" w:pos="993"/>
        </w:tabs>
        <w:spacing w:after="0" w:before="0"/>
        <w:ind w:firstLine="0" w:left="0"/>
        <w:rPr>
          <w:rFonts w:eastAsia="Arial"/>
          <w:b/>
          <w:color w:val="000000"/>
          <w:sz w:val="24"/>
          <w:szCs w:val="24"/>
          <w:u w:val="single"/>
        </w:rPr>
      </w:pPr>
      <w:r>
        <w:rPr>
          <w:rFonts w:eastAsia="Arial"/>
          <w:b/>
          <w:color w:val="000000"/>
          <w:sz w:val="24"/>
          <w:szCs w:val="24"/>
        </w:rPr>
        <w:t xml:space="preserve">SICAF</w:t>
      </w:r>
      <w:r>
        <w:rPr>
          <w:rFonts w:eastAsia="Arial"/>
          <w:color w:val="000000"/>
        </w:rPr>
        <w:t xml:space="preserve">;  </w:t>
      </w:r>
      <w:r>
        <w:rPr>
          <w:rFonts w:eastAsia="Arial"/>
          <w:b/>
          <w:color w:val="000000"/>
          <w:sz w:val="24"/>
          <w:szCs w:val="24"/>
          <w:u w:val="single"/>
        </w:rPr>
      </w:r>
    </w:p>
    <w:p>
      <w:pPr>
        <w:pStyle w:val="1056"/>
        <w:numPr>
          <w:ilvl w:val="2"/>
          <w:numId w:val="18"/>
        </w:numPr>
        <w:pBdr/>
        <w:tabs>
          <w:tab w:val="clear" w:leader="none" w:pos="720"/>
          <w:tab w:val="left" w:leader="none" w:pos="993"/>
        </w:tabs>
        <w:spacing w:after="0" w:before="0"/>
        <w:ind w:firstLine="0" w:left="0"/>
        <w:rPr>
          <w:rFonts w:eastAsia="Arial"/>
          <w:b/>
          <w:color w:val="000000"/>
          <w:sz w:val="24"/>
          <w:szCs w:val="24"/>
          <w:u w:val="single"/>
        </w:rPr>
      </w:pPr>
      <w:r>
        <w:rPr>
          <w:rFonts w:eastAsia="Arial"/>
          <w:color w:val="000000"/>
          <w:sz w:val="24"/>
          <w:szCs w:val="24"/>
        </w:rPr>
        <w:t xml:space="preserve">Cadastro Nacional de Empresas Inidôneas e Suspensas - </w:t>
      </w:r>
      <w:r>
        <w:rPr>
          <w:rFonts w:eastAsia="Arial"/>
          <w:b/>
          <w:color w:val="000000"/>
          <w:sz w:val="24"/>
          <w:szCs w:val="24"/>
        </w:rPr>
        <w:t xml:space="preserve">CEIS</w:t>
      </w:r>
      <w:r>
        <w:rPr>
          <w:rFonts w:eastAsia="Arial"/>
          <w:color w:val="000000"/>
          <w:sz w:val="24"/>
          <w:szCs w:val="24"/>
        </w:rPr>
        <w:t xml:space="preserve">, mantido pela Controladoria-Geral da União (</w:t>
      </w:r>
      <w:hyperlink r:id="rId29" w:tooltip="https://www.portaltransparencia.gov.br/sancoes/ceis" w:history="1">
        <w:r>
          <w:rPr>
            <w:rFonts w:eastAsia="Arial"/>
            <w:color w:val="000000"/>
            <w:sz w:val="24"/>
            <w:szCs w:val="24"/>
            <w:u w:val="single"/>
          </w:rPr>
          <w:t xml:space="preserve">https://www.portaltransparencia.gov.br/sancoes/ceis</w:t>
        </w:r>
      </w:hyperlink>
      <w:r>
        <w:rPr>
          <w:rFonts w:eastAsia="Arial"/>
          <w:color w:val="000000"/>
          <w:sz w:val="24"/>
          <w:szCs w:val="24"/>
        </w:rPr>
        <w:t xml:space="preserve">); e </w:t>
      </w:r>
      <w:r>
        <w:rPr>
          <w:rFonts w:eastAsia="Arial"/>
          <w:b/>
          <w:color w:val="000000"/>
          <w:sz w:val="24"/>
          <w:szCs w:val="24"/>
          <w:u w:val="single"/>
        </w:rPr>
      </w:r>
    </w:p>
    <w:p>
      <w:pPr>
        <w:pStyle w:val="1056"/>
        <w:numPr>
          <w:ilvl w:val="2"/>
          <w:numId w:val="18"/>
        </w:numPr>
        <w:pBdr/>
        <w:tabs>
          <w:tab w:val="clear" w:leader="none" w:pos="720"/>
          <w:tab w:val="left" w:leader="none" w:pos="993"/>
        </w:tabs>
        <w:spacing w:after="0" w:before="0"/>
        <w:ind w:firstLine="0" w:left="0"/>
        <w:rPr>
          <w:rFonts w:eastAsia="Arial"/>
          <w:b/>
          <w:color w:val="000000"/>
          <w:sz w:val="24"/>
          <w:szCs w:val="24"/>
          <w:u w:val="single"/>
        </w:rPr>
      </w:pPr>
      <w:r>
        <w:rPr>
          <w:rFonts w:eastAsia="Arial"/>
          <w:color w:val="000000"/>
          <w:sz w:val="24"/>
          <w:szCs w:val="24"/>
        </w:rPr>
        <w:t xml:space="preserve">Cadastro Nacional de Empresas Punidas – </w:t>
      </w:r>
      <w:r>
        <w:rPr>
          <w:rFonts w:eastAsia="Arial"/>
          <w:b/>
          <w:color w:val="000000"/>
          <w:sz w:val="24"/>
          <w:szCs w:val="24"/>
        </w:rPr>
        <w:t xml:space="preserve">CNEP</w:t>
      </w:r>
      <w:r>
        <w:rPr>
          <w:rFonts w:eastAsia="Arial"/>
          <w:color w:val="000000"/>
          <w:sz w:val="24"/>
          <w:szCs w:val="24"/>
        </w:rPr>
        <w:t xml:space="preserve">, mantido pela Controladoria-Geral da União (</w:t>
      </w:r>
      <w:hyperlink r:id="rId30" w:tooltip="https://www.portaltransparencia.gov.br/sancoes/cnep" w:history="1">
        <w:r>
          <w:rPr>
            <w:rFonts w:eastAsia="Arial"/>
            <w:color w:val="000000"/>
            <w:sz w:val="24"/>
            <w:szCs w:val="24"/>
            <w:u w:val="single"/>
          </w:rPr>
          <w:t xml:space="preserve">https://www.portaltransparencia.gov.br/sancoes/cnep</w:t>
        </w:r>
      </w:hyperlink>
      <w:r>
        <w:rPr>
          <w:rFonts w:eastAsia="Arial"/>
          <w:color w:val="000000"/>
          <w:sz w:val="24"/>
          <w:szCs w:val="24"/>
        </w:rPr>
        <w:t xml:space="preserve">).</w:t>
      </w:r>
      <w:r>
        <w:rPr>
          <w:rFonts w:eastAsia="Arial"/>
          <w:b/>
          <w:color w:val="000000"/>
          <w:sz w:val="24"/>
          <w:szCs w:val="24"/>
          <w:u w:val="single"/>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consulta aos cadastros será realizada em nome da empresa licitante e também de seu sócio majoritário, por força da vedação de que trata o </w:t>
      </w:r>
      <w:r>
        <w:fldChar w:fldCharType="begin"/>
      </w:r>
      <w:r>
        <w:rPr>
          <w:rFonts w:eastAsia="Arial"/>
          <w:color w:val="000000"/>
          <w:sz w:val="24"/>
          <w:szCs w:val="24"/>
          <w:u w:val="single"/>
        </w:rPr>
        <w:instrText xml:space="preserve"> HYPERLINK "https://www.planalto.gov.br/ccivil_03/leis/l8429.htm" \l ":~:text=%C3%A0s%20seguintes%20comina%C3%A7%C3%B5es%3A-,Art.,n%C2%BA%2012.120%2C%20de%202009)."</w:instrText>
      </w:r>
      <w:r>
        <w:rPr>
          <w:rFonts w:eastAsia="Arial"/>
          <w:color w:val="000000"/>
          <w:sz w:val="24"/>
          <w:szCs w:val="24"/>
          <w:u w:val="single"/>
        </w:rPr>
        <w:fldChar w:fldCharType="separate"/>
      </w:r>
      <w:r>
        <w:rPr>
          <w:rFonts w:eastAsia="Arial"/>
          <w:color w:val="000000"/>
          <w:sz w:val="24"/>
          <w:szCs w:val="24"/>
          <w:u w:val="single"/>
        </w:rPr>
        <w:t xml:space="preserve">artigo 12 da Lei n° 8.429, de 1992</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Caso conste na Consulta de Situação do licitante a </w:t>
      </w:r>
      <w:r>
        <w:rPr>
          <w:rFonts w:eastAsia="Arial"/>
          <w:b/>
          <w:color w:val="000000"/>
          <w:sz w:val="24"/>
          <w:szCs w:val="24"/>
        </w:rPr>
        <w:t xml:space="preserve">existência de Ocorrências Impeditivas Indiretas</w:t>
      </w:r>
      <w:r>
        <w:rPr>
          <w:rFonts w:eastAsia="Arial"/>
          <w:color w:val="000000"/>
          <w:sz w:val="24"/>
          <w:szCs w:val="24"/>
        </w:rPr>
        <w:t xml:space="preserve">, o </w:t>
      </w:r>
      <w:r>
        <w:rPr>
          <w:rFonts w:eastAsia="Arial"/>
          <w:b/>
          <w:color w:val="000000"/>
          <w:sz w:val="24"/>
          <w:szCs w:val="24"/>
        </w:rPr>
        <w:t xml:space="preserve">agente de contratação diligenciará</w:t>
      </w:r>
      <w:r>
        <w:rPr>
          <w:rFonts w:eastAsia="Arial"/>
          <w:color w:val="000000"/>
          <w:sz w:val="24"/>
          <w:szCs w:val="24"/>
        </w:rPr>
        <w:t xml:space="preserve"> para verificar se houve fraude por parte das empresas apontadas no Relatório de Ocorrências Impeditivas Indiretas. (</w:t>
      </w:r>
      <w:r>
        <w:fldChar w:fldCharType="begin"/>
      </w:r>
      <w:r>
        <w:rPr>
          <w:rFonts w:eastAsia="Arial"/>
          <w:color w:val="000000"/>
          <w:sz w:val="24"/>
          <w:szCs w:val="24"/>
          <w:u w:val="single"/>
        </w:rPr>
        <w:instrText xml:space="preserve"> HYPERLINK "https://www.gov.br/compras/pt-br/acesso-a-informacao/legislacao/instrucoes-normativas/instrucao-normativa-no-3-de-26-de-abril-de-2018" \l "art29"</w:instrText>
      </w:r>
      <w:r>
        <w:rPr>
          <w:rFonts w:eastAsia="Arial"/>
          <w:color w:val="000000"/>
          <w:sz w:val="24"/>
          <w:szCs w:val="24"/>
          <w:u w:val="single"/>
        </w:rPr>
        <w:fldChar w:fldCharType="separate"/>
      </w:r>
      <w:r>
        <w:rPr>
          <w:rFonts w:eastAsia="Arial"/>
          <w:color w:val="000000"/>
          <w:sz w:val="24"/>
          <w:szCs w:val="24"/>
          <w:u w:val="single"/>
        </w:rPr>
        <w:t xml:space="preserve">IN nº 3/2018, art. 29, </w:t>
      </w:r>
      <w:r>
        <w:rPr>
          <w:rFonts w:eastAsia="Arial"/>
          <w:color w:val="000000"/>
          <w:sz w:val="24"/>
          <w:szCs w:val="24"/>
          <w:u w:val="single"/>
        </w:rPr>
        <w:fldChar w:fldCharType="end"/>
      </w:r>
      <w:r>
        <w:rPr>
          <w:rFonts w:eastAsia="Arial"/>
          <w:i/>
          <w:color w:val="000000"/>
          <w:sz w:val="24"/>
          <w:szCs w:val="24"/>
          <w:u w:val="single"/>
        </w:rPr>
        <w:t xml:space="preserve">caput</w:t>
      </w:r>
      <w:r>
        <w:rPr>
          <w:rFonts w:eastAsia="Arial"/>
          <w:color w:val="000000"/>
          <w:sz w:val="24"/>
          <w:szCs w:val="24"/>
        </w:rPr>
        <w:t xml:space="preserve">).</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A tentativa de burla será verificada por meio dos vínculos societários, linhas de fornecimento similares, dentre outros. (</w:t>
      </w:r>
      <w:hyperlink r:id="rId31" w:tooltip="https://www.gov.br/compras/pt-br/acesso-a-informacao/legislacao/instrucoes-normativas/instrucao-normativa-no-3-de-26-de-abril-de-2018" w:history="1">
        <w:r>
          <w:rPr>
            <w:rFonts w:eastAsia="Arial"/>
            <w:color w:val="000000"/>
            <w:sz w:val="24"/>
            <w:szCs w:val="24"/>
            <w:u w:val="single"/>
          </w:rPr>
          <w:t xml:space="preserve">IN nº 3/2018, art. 29, §1º</w:t>
        </w:r>
      </w:hyperlink>
      <w:r>
        <w:rPr>
          <w:rFonts w:eastAsia="Arial"/>
          <w:color w:val="000000"/>
          <w:sz w:val="24"/>
          <w:szCs w:val="24"/>
        </w:rPr>
        <w:t xml:space="preserve">).</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O licitante será convocado para manifestação previamente a uma eventual desclassificação. (</w:t>
      </w:r>
      <w:hyperlink r:id="rId32" w:tooltip="https://www.gov.br/compras/pt-br/acesso-a-informacao/legislacao/instrucoes-normativas/instrucao-normativa-no-3-de-26-de-abril-de-2018" w:history="1">
        <w:r>
          <w:rPr>
            <w:rFonts w:eastAsia="Arial"/>
            <w:color w:val="000000"/>
            <w:sz w:val="24"/>
            <w:szCs w:val="24"/>
            <w:u w:val="single"/>
          </w:rPr>
          <w:t xml:space="preserve">IN nº 3/2018, art. 29, §2º</w:t>
        </w:r>
      </w:hyperlink>
      <w:r>
        <w:rPr>
          <w:rFonts w:eastAsia="Arial"/>
          <w:color w:val="000000"/>
          <w:sz w:val="24"/>
          <w:szCs w:val="24"/>
        </w:rPr>
        <w:t xml:space="preserve">).</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Constatada a existência de sanção, o licitante será reputado inabilitado, por falta de condição de participação.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Caso o licitante provisoriamente classificado em primeiro lugar tenha se utilizado de algum tratamento favorecido às ME/EPPs, o pregoeiro verificará se faz jus ao benefício, em conformidade com os</w:t>
      </w:r>
      <w:r>
        <w:rPr>
          <w:rFonts w:eastAsia="Arial"/>
          <w:b/>
          <w:color w:val="000000"/>
          <w:sz w:val="24"/>
          <w:szCs w:val="24"/>
        </w:rPr>
        <w:t xml:space="preserve"> itens 6.5 e 7.6</w:t>
      </w:r>
      <w:r>
        <w:rPr>
          <w:rFonts w:eastAsia="Arial"/>
          <w:color w:val="000000"/>
          <w:sz w:val="24"/>
          <w:szCs w:val="24"/>
        </w:rPr>
        <w:t xml:space="preserve"> deste edital.</w:t>
      </w:r>
      <w:r>
        <w:rPr>
          <w:rFonts w:eastAsia="Arial"/>
          <w:color w:val="000000"/>
          <w:sz w:val="24"/>
          <w:szCs w:val="24"/>
        </w:rPr>
      </w:r>
    </w:p>
    <w:p>
      <w:pPr>
        <w:pStyle w:val="1056"/>
        <w:numPr>
          <w:ilvl w:val="1"/>
          <w:numId w:val="18"/>
        </w:numPr>
        <w:pBdr/>
        <w:spacing w:line="276" w:lineRule="auto"/>
        <w:ind w:firstLine="0" w:left="0"/>
        <w:rPr>
          <w:rFonts w:eastAsia="Arial"/>
          <w:b/>
          <w:color w:val="000000"/>
          <w:sz w:val="24"/>
          <w:szCs w:val="24"/>
        </w:rPr>
      </w:pPr>
      <w:r>
        <w:rPr>
          <w:rFonts w:eastAsia="Arial"/>
          <w:color w:val="000000"/>
          <w:sz w:val="24"/>
          <w:szCs w:val="24"/>
        </w:rPr>
        <w:t xml:space="preserve">Verificadas as condições de participação e de utiliza</w:t>
      </w:r>
      <w:r>
        <w:rPr>
          <w:rFonts w:eastAsia="Arial"/>
          <w:color w:val="000000"/>
          <w:sz w:val="24"/>
          <w:szCs w:val="24"/>
        </w:rPr>
        <w:t xml:space="preserve">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Fonts w:eastAsia="Arial"/>
          <w:color w:val="000000"/>
          <w:sz w:val="24"/>
          <w:szCs w:val="24"/>
          <w:u w:val="single"/>
        </w:rPr>
        <w:instrText xml:space="preserve"> HYPERLINK "https://www.gov.br/compras/pt-br/acesso-a-informacao/legislacao/instrucoes-normativas/instrucao-normativa-seges-me-no-73-de-30-de-setembro-de-2022" \l "art29"</w:instrText>
      </w:r>
      <w:r>
        <w:rPr>
          <w:rFonts w:eastAsia="Arial"/>
          <w:color w:val="000000"/>
          <w:sz w:val="24"/>
          <w:szCs w:val="24"/>
          <w:u w:val="single"/>
        </w:rPr>
        <w:fldChar w:fldCharType="separate"/>
      </w:r>
      <w:r>
        <w:rPr>
          <w:rFonts w:eastAsia="Arial"/>
          <w:color w:val="000000"/>
          <w:sz w:val="24"/>
          <w:szCs w:val="24"/>
          <w:u w:val="single"/>
        </w:rPr>
        <w:t xml:space="preserve">artigo 29 a 35 da IN SEGES nº 73, de 30 de setembro de 2022</w:t>
      </w:r>
      <w:r>
        <w:rPr>
          <w:rFonts w:eastAsia="Arial"/>
          <w:color w:val="000000"/>
          <w:sz w:val="24"/>
          <w:szCs w:val="24"/>
          <w:u w:val="single"/>
        </w:rPr>
        <w:fldChar w:fldCharType="end"/>
      </w:r>
      <w:r>
        <w:rPr>
          <w:rFonts w:eastAsia="Arial"/>
          <w:color w:val="000000"/>
          <w:sz w:val="24"/>
          <w:szCs w:val="24"/>
        </w:rPr>
        <w:t xml:space="preserve">.</w:t>
      </w:r>
      <w:r>
        <w:rPr>
          <w:rFonts w:eastAsia="Arial"/>
          <w:b/>
          <w:color w:val="000000"/>
          <w:sz w:val="24"/>
          <w:szCs w:val="24"/>
        </w:rPr>
      </w:r>
    </w:p>
    <w:p>
      <w:pPr>
        <w:pStyle w:val="1056"/>
        <w:numPr>
          <w:ilvl w:val="1"/>
          <w:numId w:val="18"/>
        </w:numPr>
        <w:pBdr/>
        <w:spacing w:line="276" w:lineRule="auto"/>
        <w:ind w:firstLine="0" w:left="0"/>
        <w:rPr>
          <w:rFonts w:eastAsia="Arial"/>
          <w:b/>
          <w:color w:val="000000"/>
          <w:sz w:val="24"/>
          <w:szCs w:val="24"/>
        </w:rPr>
      </w:pPr>
      <w:r>
        <w:rPr>
          <w:rFonts w:eastAsia="Arial"/>
          <w:b/>
          <w:color w:val="000000"/>
          <w:sz w:val="24"/>
          <w:szCs w:val="24"/>
        </w:rPr>
        <w:t xml:space="preserve">Será desclassificada a proposta vencedora que: </w:t>
      </w:r>
      <w:r>
        <w:rPr>
          <w:rFonts w:eastAsia="Arial"/>
          <w:b/>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contiver vícios insanáveis;</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não obedecer às especificações técnicas contidas no Termo de Referência;</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apresentar preços inexequíveis ou permanecerem acima do preço máximo definido para a contratação;</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não tiverem sua exequibilidade demonstrada, quando exigido pela Administração;</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apresentar desconformidade com quaisquer outras exigências deste Edital ou seus anexos, desde que insanável.</w:t>
      </w:r>
      <w:r>
        <w:rPr>
          <w:rFonts w:eastAsia="Arial"/>
          <w:color w:val="000000"/>
          <w:sz w:val="24"/>
          <w:szCs w:val="24"/>
        </w:rPr>
      </w:r>
    </w:p>
    <w:p>
      <w:pPr>
        <w:pStyle w:val="1056"/>
        <w:numPr>
          <w:ilvl w:val="1"/>
          <w:numId w:val="18"/>
        </w:numPr>
        <w:pBdr/>
        <w:spacing w:line="276" w:lineRule="auto"/>
        <w:ind w:firstLine="0" w:left="0"/>
        <w:rPr>
          <w:rFonts w:eastAsia="Arial"/>
          <w:b/>
          <w:color w:val="000000"/>
          <w:sz w:val="24"/>
          <w:szCs w:val="24"/>
        </w:rPr>
      </w:pPr>
      <w:r>
        <w:rPr>
          <w:rFonts w:eastAsia="Arial"/>
          <w:color w:val="000000"/>
          <w:sz w:val="24"/>
          <w:szCs w:val="24"/>
        </w:rPr>
        <w:t xml:space="preserve">No caso de bens e serviços em geral, é indício de inexequibilidade das propostas </w:t>
      </w:r>
      <w:r>
        <w:rPr>
          <w:rFonts w:eastAsia="Arial"/>
          <w:b/>
          <w:color w:val="000000"/>
          <w:sz w:val="24"/>
          <w:szCs w:val="24"/>
        </w:rPr>
        <w:t xml:space="preserve">valores inferiores a 50% (cinquenta por cento) do valor orçado pela Administração</w:t>
      </w:r>
      <w:r>
        <w:rPr>
          <w:rFonts w:eastAsia="Arial"/>
          <w:color w:val="000000"/>
          <w:sz w:val="24"/>
          <w:szCs w:val="24"/>
        </w:rPr>
        <w:t xml:space="preserve">.</w:t>
      </w:r>
      <w:r>
        <w:rPr>
          <w:rFonts w:eastAsia="Arial"/>
          <w:b/>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A inexequibilidade, na hipótese de que trata o </w:t>
      </w:r>
      <w:r>
        <w:rPr>
          <w:rFonts w:eastAsia="Arial"/>
          <w:b/>
          <w:color w:val="000000"/>
          <w:sz w:val="24"/>
          <w:szCs w:val="24"/>
        </w:rPr>
        <w:t xml:space="preserve">caput</w:t>
      </w:r>
      <w:r>
        <w:rPr>
          <w:rFonts w:eastAsia="Arial"/>
          <w:color w:val="000000"/>
          <w:sz w:val="24"/>
          <w:szCs w:val="24"/>
        </w:rPr>
        <w:t xml:space="preserve">, só será considerada após diligência do pregoeiro, que comprove:</w:t>
      </w:r>
      <w:r>
        <w:rPr>
          <w:rFonts w:eastAsia="Arial"/>
          <w:color w:val="000000"/>
          <w:sz w:val="24"/>
          <w:szCs w:val="24"/>
        </w:rPr>
      </w:r>
    </w:p>
    <w:p>
      <w:pPr>
        <w:pStyle w:val="1056"/>
        <w:pBdr/>
        <w:spacing/>
        <w:ind/>
        <w:rPr>
          <w:rFonts w:eastAsia="Arial"/>
          <w:color w:val="000000"/>
          <w:sz w:val="24"/>
          <w:szCs w:val="24"/>
        </w:rPr>
      </w:pPr>
      <w:r>
        <w:rPr>
          <w:rFonts w:eastAsia="Arial"/>
          <w:color w:val="000000"/>
          <w:sz w:val="24"/>
          <w:szCs w:val="24"/>
        </w:rPr>
        <w:t xml:space="preserve">que o custo do licitante ultrapassa o valor da proposta; e</w:t>
      </w:r>
      <w:r>
        <w:rPr>
          <w:rFonts w:eastAsia="Arial"/>
          <w:color w:val="000000"/>
          <w:sz w:val="24"/>
          <w:szCs w:val="24"/>
        </w:rPr>
      </w:r>
    </w:p>
    <w:p>
      <w:pPr>
        <w:pStyle w:val="1056"/>
        <w:numPr>
          <w:ilvl w:val="3"/>
          <w:numId w:val="18"/>
        </w:numPr>
        <w:pBdr/>
        <w:spacing w:line="276" w:lineRule="auto"/>
        <w:ind w:firstLine="0" w:left="0"/>
        <w:rPr>
          <w:rFonts w:eastAsia="Arial"/>
          <w:color w:val="000000"/>
          <w:sz w:val="24"/>
          <w:szCs w:val="24"/>
        </w:rPr>
      </w:pPr>
      <w:r>
        <w:rPr>
          <w:rFonts w:eastAsia="Arial"/>
          <w:color w:val="000000"/>
          <w:sz w:val="24"/>
          <w:szCs w:val="24"/>
        </w:rPr>
        <w:t xml:space="preserve">inexistirem custos de oportunidade capazes de justificar o vulto da oferta.</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Sendo caso de Obras ou serviços de engenharia, s</w:t>
      </w:r>
      <w:r>
        <w:rPr>
          <w:rFonts w:eastAsia="Arial"/>
          <w:color w:val="000000"/>
          <w:sz w:val="24"/>
          <w:szCs w:val="24"/>
        </w:rPr>
        <w:t xml:space="preserve">erá exigida </w:t>
      </w:r>
      <w:r>
        <w:rPr>
          <w:rFonts w:eastAsia="Arial"/>
          <w:b/>
          <w:color w:val="000000"/>
          <w:sz w:val="24"/>
          <w:szCs w:val="24"/>
        </w:rPr>
        <w:t xml:space="preserve">garantia </w:t>
      </w:r>
      <w:r>
        <w:rPr>
          <w:rFonts w:eastAsia="Arial"/>
          <w:color w:val="000000"/>
          <w:sz w:val="24"/>
          <w:szCs w:val="24"/>
        </w:rPr>
        <w:t xml:space="preserve">adicional do licitante vencedor cuja proposta for inferior a </w:t>
      </w:r>
      <w:r>
        <w:rPr>
          <w:rFonts w:eastAsia="Arial"/>
          <w:b/>
          <w:color w:val="000000"/>
          <w:sz w:val="24"/>
          <w:szCs w:val="24"/>
        </w:rPr>
        <w:t xml:space="preserve">85% (oitenta e cinco por cento)</w:t>
      </w:r>
      <w:r>
        <w:rPr>
          <w:rFonts w:eastAsia="Arial"/>
          <w:color w:val="000000"/>
          <w:sz w:val="24"/>
          <w:szCs w:val="24"/>
        </w:rPr>
        <w:t xml:space="preserve"> </w:t>
      </w:r>
      <w:r>
        <w:rPr>
          <w:rFonts w:eastAsia="Arial"/>
          <w:b/>
          <w:color w:val="000000"/>
          <w:sz w:val="24"/>
          <w:szCs w:val="24"/>
        </w:rPr>
        <w:t xml:space="preserve">do valor orçado pela Administração</w:t>
      </w:r>
      <w:r>
        <w:rPr>
          <w:rFonts w:eastAsia="Arial"/>
          <w:color w:val="000000"/>
          <w:sz w:val="24"/>
          <w:szCs w:val="24"/>
        </w:rPr>
        <w:t xml:space="preserve">, equivalente à diferença entre este último e o valor da proposta, sem prejuízo das demais garantias exigíveis de acordo com a Lei.</w:t>
      </w:r>
      <w:r>
        <w:rPr>
          <w:rFonts w:eastAsia="Arial"/>
          <w:color w:val="000000"/>
          <w:sz w:val="24"/>
          <w:szCs w:val="24"/>
        </w:rPr>
      </w:r>
    </w:p>
    <w:p>
      <w:pPr>
        <w:pStyle w:val="1056"/>
        <w:numPr>
          <w:ilvl w:val="1"/>
          <w:numId w:val="18"/>
        </w:numPr>
        <w:pBdr/>
        <w:spacing w:line="276" w:lineRule="auto"/>
        <w:ind w:firstLine="0" w:left="0"/>
        <w:rPr>
          <w:rFonts w:eastAsia="Arial"/>
          <w:b/>
          <w:color w:val="000000"/>
          <w:sz w:val="24"/>
          <w:szCs w:val="24"/>
        </w:rPr>
      </w:pPr>
      <w:r>
        <w:rPr>
          <w:rFonts w:eastAsia="Arial"/>
          <w:b/>
          <w:color w:val="000000"/>
          <w:sz w:val="24"/>
          <w:szCs w:val="24"/>
        </w:rPr>
        <w:t xml:space="preserve">Se houver indícios de inexequibilidade da proposta de preço, ou em caso da necessidade de esclarecimentos complementares, poderão ser efetuadas diligências, para que a empresa comprove a exequibilidade da proposta.</w:t>
      </w:r>
      <w:r>
        <w:rPr>
          <w:rFonts w:eastAsia="Arial"/>
          <w:b/>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Caso o custo global estimado do objeto licitado tenha sido decomposto em seus respectivos custos unitários por meio de </w:t>
      </w:r>
      <w:r>
        <w:rPr>
          <w:rFonts w:eastAsia="Arial"/>
          <w:b/>
          <w:color w:val="000000"/>
          <w:sz w:val="24"/>
          <w:szCs w:val="24"/>
        </w:rPr>
        <w:t xml:space="preserve">Planilha de Custos e Formação de Preços elaborada pela Administração</w:t>
      </w:r>
      <w:r>
        <w:rPr>
          <w:rFonts w:eastAsia="Arial"/>
          <w:color w:val="000000"/>
          <w:sz w:val="24"/>
          <w:szCs w:val="24"/>
        </w:rPr>
        <w:t xml:space="preserve">, o licitante classificado em primeiro lugar será convocado para apresentar Planilha por ele elaborada, com os respectivos valores adequados ao valor final da sua proposta, sob pena de não aceitação da proposta.</w:t>
      </w:r>
      <w:r>
        <w:rPr>
          <w:rFonts w:eastAsia="Arial"/>
          <w:color w:val="000000"/>
          <w:sz w:val="24"/>
          <w:szCs w:val="24"/>
        </w:rPr>
      </w:r>
    </w:p>
    <w:p>
      <w:pPr>
        <w:pStyle w:val="1056"/>
        <w:numPr>
          <w:ilvl w:val="1"/>
          <w:numId w:val="18"/>
        </w:numPr>
        <w:pBdr/>
        <w:spacing w:line="276" w:lineRule="auto"/>
        <w:ind w:firstLine="0" w:left="0"/>
        <w:rPr>
          <w:rFonts w:eastAsia="Arial"/>
          <w:b/>
          <w:color w:val="000000"/>
          <w:sz w:val="24"/>
          <w:szCs w:val="24"/>
        </w:rPr>
      </w:pPr>
      <w:r>
        <w:rPr>
          <w:rFonts w:eastAsia="Arial"/>
          <w:b/>
          <w:color w:val="000000"/>
          <w:sz w:val="24"/>
          <w:szCs w:val="24"/>
        </w:rPr>
        <w:t xml:space="preserve">Erros no preenchimento da planilha não constituem motivo para a desclassificação da proposta.</w:t>
      </w:r>
      <w:r>
        <w:rPr>
          <w:rFonts w:eastAsia="Arial"/>
          <w:color w:val="000000"/>
          <w:sz w:val="24"/>
          <w:szCs w:val="24"/>
        </w:rPr>
        <w:t xml:space="preserve"> A planilha poderá́ ser ajustada pelo fornecedor, no prazo indicado pelo sistema, desde que não haja majoração do preço e que se comprove que este é o bastante para arcar com todos os custos da contratação;</w:t>
      </w:r>
      <w:r>
        <w:rPr>
          <w:rFonts w:eastAsia="Arial"/>
          <w:b/>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O ajuste de que trata este dispositivo se limita a sanar erros ou falhas que não alterem a substância das propostas;</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Considera-se erro no preenchimento da planilha passível de correção a indicação de recolhimento de impostos e contribuições na forma do Simples Nacional, quando não cabível esse regime.</w:t>
      </w:r>
      <w:r>
        <w:rPr>
          <w:rFonts w:eastAsia="Arial"/>
          <w:color w:val="000000"/>
          <w:sz w:val="24"/>
          <w:szCs w:val="24"/>
        </w:rPr>
      </w:r>
    </w:p>
    <w:p>
      <w:pPr>
        <w:pStyle w:val="1056"/>
        <w:numPr>
          <w:ilvl w:val="1"/>
          <w:numId w:val="18"/>
        </w:numPr>
        <w:pBdr/>
        <w:spacing w:line="276" w:lineRule="auto"/>
        <w:ind w:firstLine="0" w:left="0"/>
        <w:rPr>
          <w:rFonts w:eastAsia="Arial"/>
          <w:b/>
          <w:color w:val="000000"/>
          <w:sz w:val="24"/>
          <w:szCs w:val="24"/>
        </w:rPr>
      </w:pPr>
      <w:r>
        <w:rPr>
          <w:rFonts w:eastAsia="Arial"/>
          <w:color w:val="000000"/>
          <w:sz w:val="24"/>
          <w:szCs w:val="24"/>
        </w:rPr>
        <w:t xml:space="preserve">Para fins de análise da proposta quanto ao cumprimento das especificações do objeto, poderá ser colhida a manifestação escrita do setor requisitante do serviço ou da área especializada no objeto.</w:t>
      </w:r>
      <w:r>
        <w:rPr>
          <w:rFonts w:eastAsia="Arial"/>
          <w:b/>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b/>
          <w:color w:val="000000"/>
          <w:sz w:val="24"/>
          <w:szCs w:val="24"/>
        </w:rPr>
        <w:t xml:space="preserve">Caso</w:t>
      </w:r>
      <w:r>
        <w:rPr>
          <w:rFonts w:eastAsia="Arial"/>
          <w:color w:val="000000"/>
          <w:sz w:val="24"/>
          <w:szCs w:val="24"/>
        </w:rPr>
        <w:t xml:space="preserve"> o Termo de Referência exija a </w:t>
      </w:r>
      <w:r>
        <w:rPr>
          <w:rFonts w:eastAsia="Arial"/>
          <w:b/>
          <w:color w:val="000000"/>
          <w:sz w:val="24"/>
          <w:szCs w:val="24"/>
        </w:rPr>
        <w:t xml:space="preserve">apresentação de amostra</w:t>
      </w:r>
      <w:r>
        <w:rPr>
          <w:rFonts w:eastAsia="Arial"/>
          <w:color w:val="000000"/>
          <w:sz w:val="24"/>
          <w:szCs w:val="24"/>
        </w:rPr>
        <w:t xml:space="preserve">, o licitante classificado em primeiro lugar deverá apresentá-la, conforme disciplinado no Termo de Referência, sob pena de não aceitação da proposta.</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Por meio de mensagem no sistema, será divulgado o local e horário de realização do procedimento para a avaliação das amostras, cuja presença será facultada a todos os interessados, incluindo os demais licitantes.</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resultados das avaliações serão divulgados por meio de mensagem no sistema.</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No caso de não haver entrega da amostra ou ocorrer atraso na entrega, sem justificativa aceita pelo Pregoeiro, ou havendo entrega de amostra fora das especificações previstas neste Edital, a proposta do licitante será recusada.</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Se a(s) amostra(s) apresentada(s) pelo primeiro classificado não for(em) aceita(s), o</w:t>
      </w:r>
      <w:r>
        <w:rPr>
          <w:rFonts w:eastAsia="Arial"/>
          <w:color w:val="000000"/>
          <w:sz w:val="24"/>
          <w:szCs w:val="24"/>
        </w:rPr>
        <w:t xml:space="preserve"> Pregoeiro analisará a aceitabilidade da proposta ou lance ofertado pelo segundo classificado. Seguir-se-á com a verificação da(s) amostra(s) e, assim, sucessivamente, até a verificação de uma que atenda às especificações constantes no Termo de Referência.</w:t>
      </w:r>
      <w:r>
        <w:rPr>
          <w:rFonts w:eastAsia="Arial"/>
          <w:color w:val="000000"/>
          <w:sz w:val="24"/>
          <w:szCs w:val="24"/>
        </w:rPr>
      </w:r>
    </w:p>
    <w:p>
      <w:pPr>
        <w:pStyle w:val="1056"/>
        <w:pBdr/>
        <w:spacing w:after="0" w:before="0"/>
        <w:ind w:left="-142"/>
        <w:rPr>
          <w:rFonts w:eastAsia="Arial"/>
          <w:color w:val="000000"/>
          <w:sz w:val="24"/>
          <w:szCs w:val="24"/>
        </w:rPr>
      </w:pPr>
      <w:r>
        <w:rPr>
          <w:rFonts w:eastAsia="Arial"/>
          <w:color w:val="000000"/>
          <w:sz w:val="24"/>
          <w:szCs w:val="24"/>
        </w:rPr>
      </w:r>
      <w:r>
        <w:rPr>
          <w:rFonts w:eastAsia="Arial"/>
          <w:color w:val="000000"/>
          <w:sz w:val="24"/>
          <w:szCs w:val="24"/>
        </w:rPr>
      </w:r>
    </w:p>
    <w:p>
      <w:pPr>
        <w:pStyle w:val="1056"/>
        <w:numPr>
          <w:ilvl w:val="0"/>
          <w:numId w:val="18"/>
        </w:numPr>
        <w:pBdr/>
        <w:spacing w:after="0" w:before="0"/>
        <w:ind w:firstLine="0" w:left="0"/>
        <w:rPr>
          <w:rFonts w:eastAsia="Arial"/>
          <w:b/>
          <w:color w:val="000000"/>
          <w:sz w:val="24"/>
          <w:szCs w:val="24"/>
          <w:u w:val="single"/>
        </w:rPr>
      </w:pPr>
      <w:r/>
      <w:bookmarkStart w:id="39" w:name="bookmark=id.1v1yuxt"/>
      <w:r/>
      <w:bookmarkEnd w:id="39"/>
      <w:r>
        <w:rPr>
          <w:b/>
          <w:sz w:val="24"/>
          <w:szCs w:val="24"/>
          <w:u w:val="single"/>
        </w:rPr>
        <w:t xml:space="preserve">DA FASE DE HABILITAÇÃO (art. 62, NLLC)</w:t>
      </w:r>
      <w:r>
        <w:rPr>
          <w:rFonts w:eastAsia="Arial"/>
          <w:b/>
          <w:color w:val="000000"/>
          <w:sz w:val="24"/>
          <w:szCs w:val="24"/>
          <w:u w:val="single"/>
        </w:rPr>
        <w:t xml:space="preserve">:</w:t>
      </w:r>
      <w:r>
        <w:rPr>
          <w:rFonts w:eastAsia="Arial"/>
          <w:b/>
          <w:color w:val="000000"/>
          <w:sz w:val="24"/>
          <w:szCs w:val="24"/>
          <w:u w:val="single"/>
        </w:rPr>
      </w:r>
    </w:p>
    <w:p>
      <w:pPr>
        <w:pStyle w:val="1056"/>
        <w:pBdr/>
        <w:spacing w:after="0" w:before="0"/>
        <w:ind/>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p>
    <w:p>
      <w:pPr>
        <w:pStyle w:val="1056"/>
        <w:numPr>
          <w:ilvl w:val="1"/>
          <w:numId w:val="18"/>
        </w:numPr>
        <w:pBdr/>
        <w:spacing w:after="0" w:before="0"/>
        <w:ind w:firstLine="0" w:left="0"/>
        <w:rPr>
          <w:rFonts w:eastAsia="Arial"/>
          <w:b/>
          <w:color w:val="000000"/>
          <w:sz w:val="24"/>
          <w:szCs w:val="24"/>
          <w:u w:val="single"/>
        </w:rPr>
      </w:pPr>
      <w:r/>
      <w:bookmarkStart w:id="40" w:name="_heading=h.4f1mdlm"/>
      <w:r/>
      <w:bookmarkEnd w:id="40"/>
      <w:r>
        <w:rPr>
          <w:rFonts w:eastAsia="Arial"/>
          <w:color w:val="000000"/>
          <w:sz w:val="24"/>
          <w:szCs w:val="24"/>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Fonts w:eastAsia="Arial"/>
          <w:color w:val="000000"/>
          <w:sz w:val="24"/>
          <w:szCs w:val="24"/>
          <w:u w:val="single"/>
        </w:rPr>
        <w:instrText xml:space="preserve"> HYPERLINK "http://www.planalto.gov.br/ccivil_03/_ato2019-2022/2021/lei/L14133.htm" \l "art62"</w:instrText>
      </w:r>
      <w:r>
        <w:rPr>
          <w:rFonts w:eastAsia="Arial"/>
          <w:color w:val="000000"/>
          <w:sz w:val="24"/>
          <w:szCs w:val="24"/>
          <w:u w:val="single"/>
        </w:rPr>
        <w:fldChar w:fldCharType="separate"/>
      </w:r>
      <w:r>
        <w:rPr>
          <w:rFonts w:eastAsia="Arial"/>
          <w:color w:val="000000"/>
          <w:sz w:val="24"/>
          <w:szCs w:val="24"/>
          <w:u w:val="single"/>
        </w:rPr>
        <w:t xml:space="preserve">arts. 62 a 70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b/>
          <w:color w:val="000000"/>
          <w:sz w:val="24"/>
          <w:szCs w:val="24"/>
          <w:u w:val="single"/>
        </w:rPr>
      </w:r>
    </w:p>
    <w:p>
      <w:pPr>
        <w:pStyle w:val="1056"/>
        <w:numPr>
          <w:ilvl w:val="2"/>
          <w:numId w:val="18"/>
        </w:numPr>
        <w:pBdr/>
        <w:tabs>
          <w:tab w:val="clear" w:leader="none" w:pos="720"/>
          <w:tab w:val="left" w:leader="none" w:pos="851"/>
          <w:tab w:val="left" w:leader="none" w:pos="1560"/>
        </w:tabs>
        <w:spacing w:after="0" w:before="0"/>
        <w:ind w:firstLine="0" w:left="0"/>
        <w:rPr>
          <w:rFonts w:eastAsia="Arial"/>
          <w:b/>
          <w:color w:val="000000"/>
          <w:sz w:val="24"/>
          <w:szCs w:val="24"/>
          <w:u w:val="single"/>
        </w:rPr>
      </w:pPr>
      <w:r>
        <w:rPr>
          <w:rFonts w:eastAsia="Arial"/>
          <w:b/>
          <w:color w:val="000000"/>
          <w:sz w:val="24"/>
          <w:szCs w:val="24"/>
        </w:rPr>
        <w:t xml:space="preserve">A documentação exigida para fins de habilitação jurídica, fiscal, social e trabalhista e econômico-ﬁnanceira, poderá ser substituída pelo registro cadastral no SICAF.</w:t>
      </w:r>
      <w:r>
        <w:rPr>
          <w:rFonts w:eastAsia="Arial"/>
          <w:b/>
          <w:color w:val="000000"/>
          <w:sz w:val="24"/>
          <w:szCs w:val="24"/>
          <w:u w:val="single"/>
        </w:rPr>
      </w:r>
    </w:p>
    <w:p>
      <w:pPr>
        <w:pStyle w:val="1056"/>
        <w:numPr>
          <w:ilvl w:val="1"/>
          <w:numId w:val="18"/>
        </w:numPr>
        <w:pBdr/>
        <w:spacing w:line="276" w:lineRule="auto"/>
        <w:ind w:firstLine="0" w:left="0"/>
        <w:rPr>
          <w:rFonts w:eastAsia="Arial"/>
          <w:i/>
          <w:color w:val="000000"/>
          <w:sz w:val="24"/>
          <w:szCs w:val="24"/>
        </w:rPr>
      </w:pPr>
      <w:r>
        <w:rPr>
          <w:rFonts w:eastAsia="Arial"/>
          <w:color w:val="000000"/>
          <w:sz w:val="24"/>
          <w:szCs w:val="24"/>
        </w:rPr>
        <w:t xml:space="preserve">Quando permitida a participação de empresas estrangeiras que não funcionem no País, as exigências de habilitação serão atendidas mediante documentos equivalentes, inicialmente apresentados em tradução livre.</w:t>
      </w:r>
      <w:r>
        <w:rPr>
          <w:rFonts w:eastAsia="Arial"/>
          <w:i/>
          <w:color w:val="000000"/>
          <w:sz w:val="24"/>
          <w:szCs w:val="24"/>
        </w:rPr>
      </w:r>
    </w:p>
    <w:p>
      <w:pPr>
        <w:pStyle w:val="1056"/>
        <w:numPr>
          <w:ilvl w:val="1"/>
          <w:numId w:val="18"/>
        </w:numPr>
        <w:pBdr/>
        <w:spacing w:line="276" w:lineRule="auto"/>
        <w:ind w:firstLine="0" w:left="0"/>
        <w:rPr>
          <w:rFonts w:eastAsia="Arial"/>
          <w:i/>
          <w:color w:val="000000"/>
          <w:sz w:val="24"/>
          <w:szCs w:val="24"/>
        </w:rPr>
      </w:pPr>
      <w:r>
        <w:rPr>
          <w:rFonts w:eastAsia="Arial"/>
          <w:color w:val="000000"/>
          <w:sz w:val="24"/>
          <w:szCs w:val="24"/>
        </w:rPr>
        <w:t xml:space="preserve">Na hipótese de o licitante ven</w:t>
      </w:r>
      <w:r>
        <w:rPr>
          <w:rFonts w:eastAsia="Arial"/>
          <w:color w:val="000000"/>
          <w:sz w:val="24"/>
          <w:szCs w:val="24"/>
        </w:rPr>
        <w:t xml:space="preserve">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3" w:tooltip="https://www.planalto.gov.br/ccivil_03/_ato2015-2018/2016/decreto/d8660.htm" w:history="1">
        <w:r>
          <w:rPr>
            <w:rFonts w:eastAsia="Arial"/>
            <w:color w:val="000000"/>
            <w:sz w:val="24"/>
            <w:szCs w:val="24"/>
            <w:u w:val="single"/>
          </w:rPr>
          <w:t xml:space="preserve">Decreto nº 8.660, de 29 de janeiro de 2016</w:t>
        </w:r>
      </w:hyperlink>
      <w:r>
        <w:rPr>
          <w:rFonts w:eastAsia="Arial"/>
          <w:color w:val="000000"/>
          <w:sz w:val="24"/>
          <w:szCs w:val="24"/>
        </w:rPr>
        <w:t xml:space="preserve">, ou de outro que venha a substituí-lo, ou consularizados pelos respectivos consulados ou embaixadas.</w:t>
      </w:r>
      <w:r>
        <w:rPr>
          <w:rFonts w:eastAsia="Arial"/>
          <w:i/>
          <w:color w:val="000000"/>
          <w:sz w:val="24"/>
          <w:szCs w:val="24"/>
        </w:rPr>
      </w:r>
    </w:p>
    <w:p>
      <w:pPr>
        <w:pStyle w:val="1056"/>
        <w:numPr>
          <w:ilvl w:val="1"/>
          <w:numId w:val="18"/>
        </w:numPr>
        <w:pBdr/>
        <w:spacing w:after="0" w:before="0" w:line="276" w:lineRule="auto"/>
        <w:ind w:firstLine="0" w:left="0"/>
        <w:rPr>
          <w:rFonts w:eastAsia="Arial"/>
          <w:color w:val="000000"/>
          <w:sz w:val="24"/>
          <w:szCs w:val="24"/>
        </w:rPr>
      </w:pPr>
      <w:r>
        <w:rPr>
          <w:rFonts w:eastAsia="Arial"/>
          <w:color w:val="000000"/>
          <w:sz w:val="24"/>
          <w:szCs w:val="24"/>
        </w:rPr>
        <w:t xml:space="preserve">Os documentos exigidos para fins de habilitação poderão ser apresentados em original, por qualquer processo de cópia autenticada por cartório competente ou por servidor da administração.</w:t>
      </w:r>
      <w:r>
        <w:rPr>
          <w:rFonts w:eastAsia="Arial"/>
          <w:color w:val="000000"/>
          <w:sz w:val="24"/>
          <w:szCs w:val="24"/>
        </w:rPr>
      </w:r>
    </w:p>
    <w:p>
      <w:pPr>
        <w:pStyle w:val="1056"/>
        <w:numPr>
          <w:ilvl w:val="1"/>
          <w:numId w:val="18"/>
        </w:numPr>
        <w:pBdr/>
        <w:spacing w:line="276" w:lineRule="auto"/>
        <w:ind w:firstLine="0" w:left="0"/>
        <w:rPr>
          <w:rFonts w:eastAsia="Arial"/>
          <w:i/>
          <w:color w:val="000000"/>
          <w:sz w:val="24"/>
          <w:szCs w:val="24"/>
        </w:rPr>
      </w:pPr>
      <w:r>
        <w:rPr>
          <w:rFonts w:eastAsia="Arial"/>
          <w:color w:val="000000"/>
          <w:sz w:val="24"/>
          <w:szCs w:val="24"/>
        </w:rPr>
        <w:t xml:space="preserve">Os documentos exigidos para fins de habilitação poderão ser substituídos por registro cadastral emitido por órgão ou entidade pública, desde que o registro tenha sido feito em obediência ao disposto na Lei nº 14.133/2021.</w:t>
      </w:r>
      <w:r>
        <w:rPr>
          <w:rFonts w:eastAsia="Arial"/>
          <w:i/>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Será verificado se o licitante apresentou declaração de que atende aos requisitos de habilitação, e o declarante responderá pela veracidade das informações prestadas, na forma da lei (</w:t>
      </w:r>
      <w:r>
        <w:fldChar w:fldCharType="begin"/>
      </w:r>
      <w:r>
        <w:rPr>
          <w:rFonts w:eastAsia="Arial"/>
          <w:color w:val="000000"/>
          <w:sz w:val="24"/>
          <w:szCs w:val="24"/>
          <w:u w:val="single"/>
        </w:rPr>
        <w:instrText xml:space="preserve"> HYPERLINK "http://www.planalto.gov.br/ccivil_03/_ato2019-2022/2021/lei/L14133.htm" \l "art63"</w:instrText>
      </w:r>
      <w:r>
        <w:rPr>
          <w:rFonts w:eastAsia="Arial"/>
          <w:color w:val="000000"/>
          <w:sz w:val="24"/>
          <w:szCs w:val="24"/>
          <w:u w:val="single"/>
        </w:rPr>
        <w:fldChar w:fldCharType="separate"/>
      </w:r>
      <w:r>
        <w:rPr>
          <w:rFonts w:eastAsia="Arial"/>
          <w:color w:val="000000"/>
          <w:sz w:val="24"/>
          <w:szCs w:val="24"/>
          <w:u w:val="single"/>
        </w:rPr>
        <w:t xml:space="preserve">art. 63, I, da Lei nº 14.133/2021</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1"/>
          <w:numId w:val="18"/>
        </w:numPr>
        <w:pBdr/>
        <w:spacing w:line="276" w:lineRule="auto"/>
        <w:ind w:firstLine="0" w:left="0"/>
        <w:rPr>
          <w:rFonts w:eastAsia="Arial"/>
          <w:i/>
          <w:color w:val="000000"/>
          <w:sz w:val="24"/>
          <w:szCs w:val="24"/>
        </w:rPr>
      </w:pPr>
      <w:r>
        <w:rPr>
          <w:rFonts w:eastAsia="Arial"/>
          <w:color w:val="000000"/>
          <w:sz w:val="24"/>
          <w:szCs w:val="24"/>
        </w:rPr>
        <w:t xml:space="preserve">Será verificado se o licitante apresentou no sistema, sob pena de inabilitação, a </w:t>
      </w:r>
      <w:r>
        <w:rPr>
          <w:rFonts w:eastAsia="Arial"/>
          <w:b/>
          <w:color w:val="000000"/>
          <w:sz w:val="24"/>
          <w:szCs w:val="24"/>
        </w:rPr>
        <w:t xml:space="preserve">declaração de que cumpre as exigências de reserva de cargos para pessoa com deficiência e para reabilitado da Previdência Social</w:t>
      </w:r>
      <w:r>
        <w:rPr>
          <w:rFonts w:eastAsia="Arial"/>
          <w:color w:val="000000"/>
          <w:sz w:val="24"/>
          <w:szCs w:val="24"/>
        </w:rPr>
        <w:t xml:space="preserve">, previstas em lei e em outras normas específicas.</w:t>
      </w:r>
      <w:r>
        <w:rPr>
          <w:rFonts w:eastAsia="Arial"/>
          <w:i/>
          <w:color w:val="000000"/>
          <w:sz w:val="24"/>
          <w:szCs w:val="24"/>
        </w:rPr>
      </w:r>
    </w:p>
    <w:p>
      <w:pPr>
        <w:pStyle w:val="1056"/>
        <w:numPr>
          <w:ilvl w:val="1"/>
          <w:numId w:val="18"/>
        </w:numPr>
        <w:pBdr/>
        <w:spacing w:line="276" w:lineRule="auto"/>
        <w:ind w:firstLine="0" w:left="0"/>
        <w:rPr>
          <w:rFonts w:eastAsia="Arial"/>
          <w:i/>
          <w:color w:val="000000"/>
          <w:sz w:val="24"/>
          <w:szCs w:val="24"/>
        </w:rPr>
      </w:pPr>
      <w:r>
        <w:rPr>
          <w:rFonts w:eastAsia="Arial"/>
          <w:color w:val="000000"/>
          <w:sz w:val="24"/>
          <w:szCs w:val="24"/>
        </w:rPr>
        <w:t xml:space="preserve">O licitante deverá apresentar, sob pena de desclassificação, </w:t>
      </w:r>
      <w:r>
        <w:rPr>
          <w:rFonts w:eastAsia="Arial"/>
          <w:b/>
          <w:color w:val="000000"/>
          <w:sz w:val="24"/>
          <w:szCs w:val="24"/>
        </w:rPr>
        <w:t xml:space="preserve">declaração de que suas propostas econômicas compreendem a integralidade dos custos para atendimento dos direitos trabalhistas assegurados na Constituição Federal</w:t>
      </w:r>
      <w:r>
        <w:rPr>
          <w:rFonts w:eastAsia="Arial"/>
          <w:color w:val="000000"/>
          <w:sz w:val="24"/>
          <w:szCs w:val="24"/>
        </w:rPr>
        <w:t xml:space="preserve">, nas leis trabalhistas, nas normas infralegais, nas convenções coletivas de trabalho e nos termos de ajustamento de condutas vigentes na data de entrega das propostas.</w:t>
      </w:r>
      <w:r>
        <w:rPr>
          <w:rFonts w:eastAsia="Arial"/>
          <w:i/>
          <w:color w:val="000000"/>
          <w:sz w:val="24"/>
          <w:szCs w:val="24"/>
        </w:rPr>
      </w:r>
    </w:p>
    <w:p>
      <w:pPr>
        <w:pStyle w:val="1056"/>
        <w:numPr>
          <w:ilvl w:val="1"/>
          <w:numId w:val="18"/>
        </w:numPr>
        <w:pBdr/>
        <w:spacing w:line="276" w:lineRule="auto"/>
        <w:ind w:firstLine="0" w:left="0"/>
        <w:rPr>
          <w:rFonts w:eastAsia="Arial"/>
          <w:i/>
          <w:color w:val="000000"/>
          <w:sz w:val="24"/>
          <w:szCs w:val="24"/>
        </w:rPr>
      </w:pPr>
      <w:r>
        <w:rPr>
          <w:rFonts w:eastAsia="Arial"/>
          <w:color w:val="000000"/>
          <w:sz w:val="24"/>
          <w:szCs w:val="24"/>
        </w:rPr>
        <w:t xml:space="preserve">A habilitação será verificada por meio do Sicaf, nos documentos por ele abrangidos.</w:t>
      </w:r>
      <w:r>
        <w:rPr>
          <w:rFonts w:eastAsia="Arial"/>
          <w:i/>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Somente haverá a necessidade de </w:t>
      </w:r>
      <w:r>
        <w:rPr>
          <w:rFonts w:eastAsia="Arial"/>
          <w:b/>
          <w:color w:val="000000"/>
          <w:sz w:val="24"/>
          <w:szCs w:val="24"/>
        </w:rPr>
        <w:t xml:space="preserve">comprovação </w:t>
      </w:r>
      <w:r>
        <w:rPr>
          <w:rFonts w:eastAsia="Arial"/>
          <w:color w:val="000000"/>
          <w:sz w:val="24"/>
          <w:szCs w:val="24"/>
        </w:rPr>
        <w:t xml:space="preserve">do preenchimento de requisitos mediante apresentação dos </w:t>
      </w:r>
      <w:r>
        <w:rPr>
          <w:rFonts w:eastAsia="Arial"/>
          <w:b/>
          <w:color w:val="000000"/>
          <w:sz w:val="24"/>
          <w:szCs w:val="24"/>
        </w:rPr>
        <w:t xml:space="preserve">documentos originais não-digitais</w:t>
      </w:r>
      <w:r>
        <w:rPr>
          <w:rFonts w:eastAsia="Arial"/>
          <w:color w:val="000000"/>
          <w:sz w:val="24"/>
          <w:szCs w:val="24"/>
        </w:rPr>
        <w:t xml:space="preserve"> quando houver dúvida em relação à integridade do documento digital ou quando a lei expressamente o exigir. (</w:t>
      </w:r>
      <w:r>
        <w:fldChar w:fldCharType="begin"/>
      </w:r>
      <w:r>
        <w:rPr>
          <w:rFonts w:eastAsia="Arial"/>
          <w:color w:val="000000"/>
          <w:sz w:val="24"/>
          <w:szCs w:val="24"/>
          <w:u w:val="single"/>
        </w:rPr>
        <w:instrText xml:space="preserve"> HYPERLINK "https://www.gov.br/compras/pt-br/acesso-a-informacao/legislacao/instrucoes-normativas/instrucao-normativa-no-3-de-26-de-abril-de-2018" \l "art4"</w:instrText>
      </w:r>
      <w:r>
        <w:rPr>
          <w:rFonts w:eastAsia="Arial"/>
          <w:color w:val="000000"/>
          <w:sz w:val="24"/>
          <w:szCs w:val="24"/>
          <w:u w:val="single"/>
        </w:rPr>
        <w:fldChar w:fldCharType="separate"/>
      </w:r>
      <w:r>
        <w:rPr>
          <w:rFonts w:eastAsia="Arial"/>
          <w:color w:val="000000"/>
          <w:sz w:val="24"/>
          <w:szCs w:val="24"/>
          <w:u w:val="single"/>
        </w:rPr>
        <w:t xml:space="preserve">IN nº 3/2018, art. 4º, §1º, e art. 6º, §4º</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É de responsabilidade do licitante conferir a ex</w:t>
      </w:r>
      <w:r>
        <w:rPr>
          <w:rFonts w:eastAsia="Arial"/>
          <w:color w:val="000000"/>
          <w:sz w:val="24"/>
          <w:szCs w:val="24"/>
        </w:rPr>
        <w:t xml:space="preserve">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4" w:tooltip="https://www.gov.br/compras/pt-br/acesso-a-informacao/legislacao/instrucoes-normativas/instrucao-normativa-no-3-de-26-de-abril-de-2018" w:history="1">
        <w:r>
          <w:rPr>
            <w:rFonts w:eastAsia="Arial"/>
            <w:color w:val="000000"/>
            <w:sz w:val="24"/>
            <w:szCs w:val="24"/>
            <w:u w:val="single"/>
          </w:rPr>
          <w:t xml:space="preserve">IN nº 3/2018, art. 7º, </w:t>
        </w:r>
      </w:hyperlink>
      <w:r/>
      <w:hyperlink r:id="rId35" w:tooltip="https://www.gov.br/compras/pt-br/acesso-a-informacao/legislacao/instrucoes-normativas/instrucao-normativa-no-3-de-26-de-abril-de-2018" w:history="1">
        <w:r>
          <w:rPr>
            <w:rFonts w:eastAsia="Arial"/>
            <w:i/>
            <w:color w:val="000000"/>
            <w:sz w:val="24"/>
            <w:szCs w:val="24"/>
            <w:u w:val="single"/>
          </w:rPr>
          <w:t xml:space="preserve">caput</w:t>
        </w:r>
      </w:hyperlink>
      <w:r>
        <w:rPr>
          <w:rFonts w:eastAsia="Arial"/>
          <w:color w:val="000000"/>
          <w:sz w:val="24"/>
          <w:szCs w:val="24"/>
        </w:rPr>
        <w:t xml:space="preserve">).</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A não observância do disposto no item anterior poderá ensejar desclassificação no momento da habilitação. (</w:t>
      </w:r>
      <w:hyperlink r:id="rId36" w:tooltip="https://www.gov.br/compras/pt-br/acesso-a-informacao/legislacao/instrucoes-normativas/instrucao-normativa-no-3-de-26-de-abril-de-2018" w:history="1">
        <w:r>
          <w:rPr>
            <w:rFonts w:eastAsia="Arial"/>
            <w:color w:val="000000"/>
            <w:sz w:val="24"/>
            <w:szCs w:val="24"/>
            <w:u w:val="single"/>
          </w:rPr>
          <w:t xml:space="preserve">IN nº 3/2018, art. 7º, parágrafo único</w:t>
        </w:r>
      </w:hyperlink>
      <w:r>
        <w:rPr>
          <w:rFonts w:eastAsia="Arial"/>
          <w:color w:val="000000"/>
          <w:sz w:val="24"/>
          <w:szCs w:val="24"/>
        </w:rPr>
        <w:t xml:space="preserve">).</w:t>
      </w:r>
      <w:r>
        <w:rPr>
          <w:rFonts w:eastAsia="Arial"/>
          <w:color w:val="000000"/>
          <w:sz w:val="24"/>
          <w:szCs w:val="24"/>
        </w:rPr>
      </w:r>
    </w:p>
    <w:p>
      <w:pPr>
        <w:pStyle w:val="1056"/>
        <w:numPr>
          <w:ilvl w:val="1"/>
          <w:numId w:val="18"/>
        </w:numPr>
        <w:pBdr/>
        <w:tabs>
          <w:tab w:val="clear" w:leader="none" w:pos="720"/>
          <w:tab w:val="left" w:leader="none" w:pos="993"/>
        </w:tabs>
        <w:spacing w:line="276" w:lineRule="auto"/>
        <w:ind w:firstLine="0" w:left="0"/>
        <w:rPr>
          <w:rFonts w:eastAsia="Arial"/>
          <w:i/>
          <w:color w:val="000000"/>
          <w:sz w:val="24"/>
          <w:szCs w:val="24"/>
        </w:rPr>
      </w:pPr>
      <w:r>
        <w:rPr>
          <w:rFonts w:eastAsia="Arial"/>
          <w:color w:val="000000"/>
          <w:sz w:val="24"/>
          <w:szCs w:val="24"/>
        </w:rPr>
        <w:t xml:space="preserve">A verificação pelo pregoeiro, em sítios eletrônicos oficiais de órgãos e entidades emissores de certidões constitui meio legal de prova, para fins de habilitação.</w:t>
      </w:r>
      <w:r>
        <w:rPr>
          <w:rFonts w:eastAsia="Arial"/>
          <w:i/>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i/>
          <w:color w:val="000000"/>
          <w:sz w:val="24"/>
          <w:szCs w:val="24"/>
        </w:rPr>
      </w:pPr>
      <w:r/>
      <w:bookmarkStart w:id="41" w:name="_heading=h.2u6wntf"/>
      <w:r/>
      <w:bookmarkEnd w:id="41"/>
      <w:r>
        <w:rPr>
          <w:rFonts w:eastAsia="Arial"/>
          <w:color w:val="000000"/>
          <w:sz w:val="24"/>
          <w:szCs w:val="24"/>
        </w:rPr>
        <w:t xml:space="preserve">Os documentos exigidos para habilitação que não estejam contemplados no Sicaf serão enviados por meio do sistema, em formato digital, no prazo de</w:t>
      </w:r>
      <w:r>
        <w:rPr>
          <w:rFonts w:eastAsia="Arial"/>
          <w:b/>
          <w:color w:val="000000"/>
          <w:sz w:val="24"/>
          <w:szCs w:val="24"/>
        </w:rPr>
        <w:t xml:space="preserve"> 02 (duas) horas</w:t>
      </w:r>
      <w:r>
        <w:rPr>
          <w:rFonts w:eastAsia="Arial"/>
          <w:color w:val="000000"/>
          <w:sz w:val="24"/>
          <w:szCs w:val="24"/>
        </w:rPr>
        <w:t xml:space="preserve">, prorrogável por igual período, contado da solicitação do pregoeiro.</w:t>
      </w:r>
      <w:r>
        <w:rPr>
          <w:rFonts w:eastAsia="Arial"/>
          <w:i/>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i/>
          <w:color w:val="000000"/>
          <w:sz w:val="24"/>
          <w:szCs w:val="24"/>
        </w:rPr>
      </w:pPr>
      <w:r>
        <w:rPr>
          <w:rFonts w:eastAsia="Arial"/>
          <w:color w:val="000000"/>
          <w:sz w:val="24"/>
          <w:szCs w:val="24"/>
        </w:rPr>
        <w:t xml:space="preserve">Na hipótese de a </w:t>
      </w:r>
      <w:r>
        <w:rPr>
          <w:rFonts w:eastAsia="Arial"/>
          <w:b/>
          <w:color w:val="000000"/>
          <w:sz w:val="24"/>
          <w:szCs w:val="24"/>
        </w:rPr>
        <w:t xml:space="preserve">fase de habilitação anteceder a fase de apresentação de propostas e lances</w:t>
      </w:r>
      <w:r>
        <w:rPr>
          <w:rFonts w:eastAsia="Arial"/>
          <w:color w:val="000000"/>
          <w:sz w:val="24"/>
          <w:szCs w:val="24"/>
        </w:rPr>
        <w:t xml:space="preserve">, os licitantes encaminharão, por meio do sistema, simultaneamente os documentos de habilitação e a proposta com o preço ou o percentual de desconto, observado o disposto no </w:t>
      </w:r>
      <w:hyperlink r:id="rId37" w:tooltip="https://www.gov.br/compras/pt-br/acesso-a-informacao/legislacao/instrucoes-normativas/instrucao-normativa-seges-me-no-73-de-30-de-setembro-de-2022" w:history="1">
        <w:r>
          <w:rPr>
            <w:rFonts w:eastAsia="Arial"/>
            <w:color w:val="000000"/>
            <w:sz w:val="24"/>
            <w:szCs w:val="24"/>
            <w:u w:val="single"/>
          </w:rPr>
          <w:t xml:space="preserve">§ 1º do art. 36 e no § 1º do art. 39 da </w:t>
        </w:r>
      </w:hyperlink>
      <w:r/>
      <w:hyperlink r:id="rId38" w:tooltip="https://www.gov.br/compras/pt-br/acesso-a-informacao/legislacao/instrucoes-normativas/instrucao-normativa-seges-me-no-73-de-30-de-setembro-de-2022" w:history="1">
        <w:r>
          <w:rPr>
            <w:rFonts w:eastAsia="Arial"/>
            <w:i/>
            <w:color w:val="000000"/>
            <w:sz w:val="24"/>
            <w:szCs w:val="24"/>
            <w:u w:val="single"/>
          </w:rPr>
          <w:t xml:space="preserve">Instrução Normativa SEGES nº 73, de 30 de setembro de 2022</w:t>
        </w:r>
      </w:hyperlink>
      <w:r/>
      <w:hyperlink r:id="rId39" w:tooltip="https://www.gov.br/compras/pt-br/acesso-a-informacao/legislacao/instrucoes-normativas/instrucao-normativa-seges-me-no-73-de-30-de-setembro-de-2022" w:history="1">
        <w:r>
          <w:rPr>
            <w:rFonts w:eastAsia="Arial"/>
            <w:color w:val="000000"/>
            <w:sz w:val="24"/>
            <w:szCs w:val="24"/>
            <w:u w:val="single"/>
          </w:rPr>
          <w:t xml:space="preserve">.</w:t>
        </w:r>
      </w:hyperlink>
      <w:r/>
      <w:r>
        <w:rPr>
          <w:rFonts w:eastAsia="Arial"/>
          <w:i/>
          <w:color w:val="000000"/>
          <w:sz w:val="24"/>
          <w:szCs w:val="24"/>
        </w:rPr>
      </w:r>
    </w:p>
    <w:p>
      <w:pPr>
        <w:pStyle w:val="1056"/>
        <w:numPr>
          <w:ilvl w:val="1"/>
          <w:numId w:val="18"/>
        </w:numPr>
        <w:pBdr/>
        <w:spacing w:line="276" w:lineRule="auto"/>
        <w:ind w:firstLine="0" w:left="0"/>
        <w:rPr>
          <w:rFonts w:eastAsia="Arial"/>
          <w:b/>
          <w:i/>
          <w:color w:val="000000"/>
          <w:sz w:val="24"/>
          <w:szCs w:val="24"/>
        </w:rPr>
      </w:pPr>
      <w:r>
        <w:rPr>
          <w:rFonts w:eastAsia="Arial"/>
          <w:b/>
          <w:color w:val="000000"/>
          <w:sz w:val="24"/>
          <w:szCs w:val="24"/>
        </w:rPr>
        <w:t xml:space="preserve">A verificação no Sicaf ou a exigência dos documentos nele não contidos somente será feita em relação ao licitante vencedor.</w:t>
      </w:r>
      <w:r>
        <w:rPr>
          <w:rFonts w:eastAsia="Arial"/>
          <w:b/>
          <w:i/>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Os documentos relativos à regularidade fiscal que constem do edital somente serão exigidos, em qualquer caso, em momento posterior ao julgamento das propostas, e apenas do licitante mais bem classificado.</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Respeitada</w:t>
      </w:r>
      <w:r>
        <w:rPr>
          <w:rFonts w:eastAsia="Arial"/>
          <w:color w:val="000000"/>
          <w:sz w:val="24"/>
          <w:szCs w:val="24"/>
        </w:rPr>
        <w:t xml:space="preserve"> a exceção do subitem anterior, relativa à regularidade fiscal, quando a fase de habilitação anteceder as fases de apresentação de propostas e lances e de julgamento, a verificação ou exigência do presente subitem ocorrerá em relação a todos os licitantes.</w:t>
      </w:r>
      <w:r>
        <w:rPr>
          <w:rFonts w:eastAsia="Arial"/>
          <w:color w:val="000000"/>
          <w:sz w:val="24"/>
          <w:szCs w:val="24"/>
        </w:rPr>
      </w:r>
    </w:p>
    <w:p>
      <w:pPr>
        <w:pStyle w:val="1056"/>
        <w:numPr>
          <w:ilvl w:val="1"/>
          <w:numId w:val="18"/>
        </w:numPr>
        <w:pBdr/>
        <w:spacing w:line="276" w:lineRule="auto"/>
        <w:ind w:firstLine="0" w:left="0"/>
        <w:rPr>
          <w:rFonts w:eastAsia="Arial"/>
          <w:i/>
          <w:color w:val="000000"/>
          <w:sz w:val="24"/>
          <w:szCs w:val="24"/>
        </w:rPr>
      </w:pPr>
      <w:r>
        <w:rPr>
          <w:rFonts w:eastAsia="Arial"/>
          <w:b/>
          <w:color w:val="000000"/>
          <w:sz w:val="24"/>
          <w:szCs w:val="24"/>
        </w:rPr>
        <w:t xml:space="preserve">Após a entrega dos documentos para habilitação, não será permitida a substituição ou a apresentação de novos documentos</w:t>
      </w:r>
      <w:r>
        <w:rPr>
          <w:rFonts w:eastAsia="Arial"/>
          <w:color w:val="000000"/>
          <w:sz w:val="24"/>
          <w:szCs w:val="24"/>
        </w:rPr>
        <w:t xml:space="preserve">, salvo em sede de diligência, para (</w:t>
      </w:r>
      <w:r>
        <w:fldChar w:fldCharType="begin"/>
      </w:r>
      <w:r>
        <w:rPr>
          <w:rFonts w:eastAsia="Arial"/>
          <w:color w:val="000000"/>
          <w:sz w:val="24"/>
          <w:szCs w:val="24"/>
          <w:u w:val="single"/>
        </w:rPr>
        <w:instrText xml:space="preserve"> HYPERLINK "http://www.planalto.gov.br/ccivil_03/_ato2019-2022/2021/lei/L14133.htm" \l "art64"</w:instrText>
      </w:r>
      <w:r>
        <w:rPr>
          <w:rFonts w:eastAsia="Arial"/>
          <w:color w:val="000000"/>
          <w:sz w:val="24"/>
          <w:szCs w:val="24"/>
          <w:u w:val="single"/>
        </w:rPr>
        <w:fldChar w:fldCharType="separate"/>
      </w:r>
      <w:r>
        <w:rPr>
          <w:rFonts w:eastAsia="Arial"/>
          <w:color w:val="000000"/>
          <w:sz w:val="24"/>
          <w:szCs w:val="24"/>
          <w:u w:val="single"/>
        </w:rPr>
        <w:t xml:space="preserve">Lei 14.133/21, art. 64</w:t>
      </w:r>
      <w:r>
        <w:rPr>
          <w:rFonts w:eastAsia="Arial"/>
          <w:color w:val="000000"/>
          <w:sz w:val="24"/>
          <w:szCs w:val="24"/>
          <w:u w:val="single"/>
        </w:rPr>
        <w:fldChar w:fldCharType="end"/>
      </w:r>
      <w:r>
        <w:rPr>
          <w:rFonts w:eastAsia="Arial"/>
          <w:color w:val="000000"/>
          <w:sz w:val="24"/>
          <w:szCs w:val="24"/>
        </w:rPr>
        <w:t xml:space="preserve">, e </w:t>
      </w:r>
      <w:hyperlink r:id="rId40" w:tooltip="https://www.gov.br/compras/pt-br/acesso-a-informacao/legislacao/instrucoes-normativas/instrucao-normativa-seges-me-no-73-de-30-de-setembro-de-2022" w:history="1">
        <w:r>
          <w:rPr>
            <w:rFonts w:eastAsia="Arial"/>
            <w:color w:val="000000"/>
            <w:sz w:val="24"/>
            <w:szCs w:val="24"/>
            <w:u w:val="single"/>
          </w:rPr>
          <w:t xml:space="preserve">IN 73/2022, art. 39, §4º</w:t>
        </w:r>
      </w:hyperlink>
      <w:r>
        <w:rPr>
          <w:rFonts w:eastAsia="Arial"/>
          <w:color w:val="000000"/>
          <w:sz w:val="24"/>
          <w:szCs w:val="24"/>
        </w:rPr>
        <w:t xml:space="preserve">):</w:t>
      </w:r>
      <w:r>
        <w:rPr>
          <w:rFonts w:eastAsia="Arial"/>
          <w:i/>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complementação de informações acerca dos documentos já apresentados pelos licitantes e desde que necessária para apurar fatos existentes à época da abertura do certame; e</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atualização de documentos cuja validade tenha expirado após a data de recebimento das propostas;</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bookmarkStart w:id="42" w:name="_heading=h.19c6y18"/>
      <w:r/>
      <w:bookmarkEnd w:id="42"/>
      <w:r>
        <w:rPr>
          <w:rFonts w:eastAsia="Arial"/>
          <w:color w:val="000000"/>
          <w:sz w:val="24"/>
          <w:szCs w:val="24"/>
        </w:rPr>
        <w:t xml:space="preserve">Na análise dos documentos de habilitação, a co</w:t>
      </w:r>
      <w:r>
        <w:rPr>
          <w:rFonts w:eastAsia="Arial"/>
          <w:color w:val="000000"/>
          <w:sz w:val="24"/>
          <w:szCs w:val="24"/>
        </w:rPr>
        <w:t xml:space="preserve">missão de contratação poderá sanar erros ou falhas, que não alterem a substância dos documentos e sua validade jurídica, mediante decisão fundamentada, registrada em ata e acessível a todos, atribuindo-lhes eﬁcácia para fins de habilitação e classificação.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bookmarkStart w:id="43" w:name="_heading=h.3tbugp1"/>
      <w:r/>
      <w:bookmarkEnd w:id="43"/>
      <w:r>
        <w:rPr>
          <w:rFonts w:eastAsia="Arial"/>
          <w:color w:val="000000"/>
          <w:sz w:val="24"/>
          <w:szCs w:val="24"/>
        </w:rPr>
        <w:t xml:space="preserve">Na hipótese de o licitante </w:t>
      </w:r>
      <w:r>
        <w:rPr>
          <w:rFonts w:eastAsia="Arial"/>
          <w:b/>
          <w:color w:val="000000"/>
          <w:sz w:val="24"/>
          <w:szCs w:val="24"/>
        </w:rPr>
        <w:t xml:space="preserve">não atender às exigências para habilitação, o pregoeiro examinará a proposta subsequente e assim sucessivamente, na ordem de classificação</w:t>
      </w:r>
      <w:r>
        <w:rPr>
          <w:rFonts w:eastAsia="Arial"/>
          <w:color w:val="000000"/>
          <w:sz w:val="24"/>
          <w:szCs w:val="24"/>
        </w:rPr>
        <w:t xml:space="preserve">, até a apuração de uma proposta que atenda ao presente edital, observado o prazo disposto no subitem </w:t>
      </w:r>
      <w:r>
        <w:rPr>
          <w:rFonts w:eastAsia="Arial"/>
          <w:b/>
          <w:color w:val="000000"/>
          <w:sz w:val="24"/>
          <w:szCs w:val="24"/>
        </w:rPr>
        <w:t xml:space="preserve">11.11.1</w:t>
      </w:r>
      <w:r>
        <w:rPr>
          <w:rFonts w:eastAsia="Arial"/>
          <w:color w:val="000000"/>
          <w:sz w:val="24"/>
          <w:szCs w:val="24"/>
        </w:rPr>
        <w:t xml:space="preserve">.</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bookmarkStart w:id="44" w:name="_heading=h.28h4qwu"/>
      <w:r/>
      <w:bookmarkEnd w:id="44"/>
      <w:r>
        <w:rPr>
          <w:rFonts w:eastAsia="Arial"/>
          <w:color w:val="000000"/>
          <w:sz w:val="24"/>
          <w:szCs w:val="24"/>
        </w:rPr>
        <w:t xml:space="preserve">Somente serão disponibilizados para acesso público os documentos de habilitação do licitante cuja proposta atenda ao edital de licitação, após concluídos os procedimentos de que trata o subitem anterior.</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comprovação de regularidade fiscal e trabalhista das microempresas e das empresas de pequeno porte somente será exigida para efeito de contratação, e não como condição para participação na licitação (</w:t>
      </w:r>
      <w:r>
        <w:fldChar w:fldCharType="begin"/>
      </w:r>
      <w:r>
        <w:rPr>
          <w:rFonts w:eastAsia="Arial"/>
          <w:color w:val="000000"/>
          <w:sz w:val="24"/>
          <w:szCs w:val="24"/>
          <w:u w:val="single"/>
        </w:rPr>
        <w:instrText xml:space="preserve"> HYPERLINK "https://www.planalto.gov.br/ccivil_03/_ato2015-2018/2015/decreto/d8538.htm" \l "art4"</w:instrText>
      </w:r>
      <w:r>
        <w:rPr>
          <w:rFonts w:eastAsia="Arial"/>
          <w:color w:val="000000"/>
          <w:sz w:val="24"/>
          <w:szCs w:val="24"/>
          <w:u w:val="single"/>
        </w:rPr>
        <w:fldChar w:fldCharType="separate"/>
      </w:r>
      <w:r>
        <w:rPr>
          <w:rFonts w:eastAsia="Arial"/>
          <w:color w:val="000000"/>
          <w:sz w:val="24"/>
          <w:szCs w:val="24"/>
          <w:u w:val="single"/>
        </w:rPr>
        <w:t xml:space="preserve">art. 4º do Decreto nº 8.538/2015</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Quando a </w:t>
      </w:r>
      <w:r>
        <w:rPr>
          <w:rFonts w:eastAsia="Arial"/>
          <w:b/>
          <w:color w:val="000000"/>
          <w:sz w:val="24"/>
          <w:szCs w:val="24"/>
        </w:rPr>
        <w:t xml:space="preserve">fase de habilitação anteceder a de julgamento </w:t>
      </w:r>
      <w:r>
        <w:rPr>
          <w:rFonts w:eastAsia="Arial"/>
          <w:color w:val="000000"/>
          <w:sz w:val="24"/>
          <w:szCs w:val="24"/>
        </w:rPr>
        <w:t xml:space="preserve">e já tiver sido encerrada, não caberá exclusão de licitante por motivo relacionado à habilitação, salvo em razão de fatos supervenientes ou só conhecidos após o julgamento.</w:t>
      </w:r>
      <w:r>
        <w:rPr>
          <w:rFonts w:eastAsia="Arial"/>
          <w:color w:val="000000"/>
          <w:sz w:val="24"/>
          <w:szCs w:val="24"/>
        </w:rPr>
      </w:r>
    </w:p>
    <w:p>
      <w:pPr>
        <w:pStyle w:val="1056"/>
        <w:numPr>
          <w:ilvl w:val="1"/>
          <w:numId w:val="18"/>
        </w:numPr>
        <w:pBdr/>
        <w:spacing w:line="276" w:lineRule="auto"/>
        <w:ind w:firstLine="0" w:left="0"/>
        <w:rPr>
          <w:rFonts w:eastAsia="Arial"/>
          <w:b/>
          <w:color w:val="000000"/>
          <w:sz w:val="24"/>
          <w:szCs w:val="24"/>
        </w:rPr>
      </w:pPr>
      <w:r>
        <w:rPr>
          <w:rFonts w:eastAsia="Arial"/>
          <w:b/>
          <w:color w:val="000000"/>
          <w:sz w:val="24"/>
          <w:szCs w:val="24"/>
        </w:rPr>
        <w:t xml:space="preserve">Sob pena de inabilitação e consequente eliminação automática desta Licitação, a proponente deverá apresentar os seguintes documentos</w:t>
      </w:r>
      <w:bookmarkStart w:id="45" w:name="bookmark=id.nmf14n"/>
      <w:r/>
      <w:bookmarkEnd w:id="45"/>
      <w:r>
        <w:rPr>
          <w:rFonts w:eastAsia="Arial"/>
          <w:b/>
          <w:color w:val="000000"/>
          <w:sz w:val="24"/>
          <w:szCs w:val="24"/>
        </w:rPr>
        <w:t xml:space="preserve">:</w:t>
      </w:r>
      <w:r>
        <w:rPr>
          <w:rFonts w:eastAsia="Arial"/>
          <w:b/>
          <w:color w:val="000000"/>
          <w:sz w:val="24"/>
          <w:szCs w:val="24"/>
        </w:rPr>
      </w:r>
    </w:p>
    <w:p>
      <w:pPr>
        <w:pStyle w:val="1056"/>
        <w:pBdr/>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numPr>
          <w:ilvl w:val="2"/>
          <w:numId w:val="18"/>
        </w:numPr>
        <w:pBdr/>
        <w:tabs>
          <w:tab w:val="left" w:leader="none" w:pos="709"/>
          <w:tab w:val="clear" w:leader="none" w:pos="720"/>
          <w:tab w:val="left" w:leader="none" w:pos="993"/>
        </w:tabs>
        <w:spacing w:after="0" w:before="0"/>
        <w:ind w:hanging="720" w:left="709"/>
        <w:rPr>
          <w:rFonts w:eastAsia="Arial"/>
          <w:b/>
          <w:color w:val="000000"/>
          <w:sz w:val="24"/>
          <w:szCs w:val="24"/>
          <w:u w:val="single"/>
        </w:rPr>
      </w:pPr>
      <w:r>
        <w:rPr>
          <w:b/>
          <w:sz w:val="24"/>
          <w:szCs w:val="24"/>
          <w:u w:val="single"/>
        </w:rPr>
        <w:t xml:space="preserve">HABILITAÇÃO</w:t>
      </w:r>
      <w:r>
        <w:rPr>
          <w:b/>
          <w:spacing w:val="-2"/>
          <w:sz w:val="24"/>
          <w:szCs w:val="24"/>
          <w:u w:val="single"/>
        </w:rPr>
        <w:t xml:space="preserve"> </w:t>
      </w:r>
      <w:r>
        <w:rPr>
          <w:b/>
          <w:sz w:val="24"/>
          <w:szCs w:val="24"/>
          <w:u w:val="single"/>
        </w:rPr>
        <w:t xml:space="preserve">JURÍDICA (art. 62, I, NLLC)</w:t>
      </w:r>
      <w:r>
        <w:rPr>
          <w:rFonts w:eastAsia="Arial"/>
          <w:b/>
          <w:color w:val="000000"/>
          <w:sz w:val="24"/>
          <w:szCs w:val="24"/>
          <w:u w:val="single"/>
        </w:rPr>
        <w:t xml:space="preserve">:</w:t>
      </w:r>
      <w:r>
        <w:rPr>
          <w:rFonts w:eastAsia="Arial"/>
          <w:b/>
          <w:color w:val="000000"/>
          <w:sz w:val="24"/>
          <w:szCs w:val="24"/>
          <w:u w:val="single"/>
        </w:rPr>
      </w:r>
    </w:p>
    <w:p>
      <w:pPr>
        <w:pStyle w:val="1056"/>
        <w:pBdr/>
        <w:tabs>
          <w:tab w:val="clear" w:leader="none" w:pos="720"/>
          <w:tab w:val="left" w:leader="none" w:pos="993"/>
        </w:tabs>
        <w:spacing w:after="0" w:before="0"/>
        <w:ind w:left="1134"/>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p>
    <w:p>
      <w:pPr>
        <w:pStyle w:val="1056"/>
        <w:numPr>
          <w:ilvl w:val="3"/>
          <w:numId w:val="18"/>
        </w:numPr>
        <w:pBdr/>
        <w:tabs>
          <w:tab w:val="clear" w:leader="none" w:pos="720"/>
          <w:tab w:val="left" w:leader="none" w:pos="851"/>
          <w:tab w:val="left" w:leader="none" w:pos="993"/>
          <w:tab w:val="left" w:leader="none" w:pos="1276"/>
        </w:tabs>
        <w:spacing w:after="0" w:before="0"/>
        <w:ind w:firstLine="0" w:left="0"/>
        <w:rPr>
          <w:rFonts w:eastAsia="Arial"/>
          <w:b/>
          <w:color w:val="000000"/>
          <w:sz w:val="24"/>
          <w:szCs w:val="24"/>
          <w:u w:val="single"/>
        </w:rPr>
      </w:pPr>
      <w:r>
        <w:rPr>
          <w:rFonts w:eastAsia="Arial"/>
          <w:color w:val="000000"/>
          <w:sz w:val="24"/>
          <w:szCs w:val="24"/>
        </w:rPr>
        <w:t xml:space="preserve">Registro no Registro Público de Empresas Mercantis, em se tratando de empresário individual ou sociedade empresária.</w:t>
      </w:r>
      <w:r>
        <w:rPr>
          <w:rFonts w:eastAsia="Arial"/>
          <w:b/>
          <w:color w:val="000000"/>
          <w:sz w:val="24"/>
          <w:szCs w:val="24"/>
          <w:u w:val="single"/>
        </w:rPr>
      </w:r>
    </w:p>
    <w:p>
      <w:pPr>
        <w:pStyle w:val="1056"/>
        <w:numPr>
          <w:ilvl w:val="3"/>
          <w:numId w:val="18"/>
        </w:numPr>
        <w:pBdr/>
        <w:tabs>
          <w:tab w:val="clear" w:leader="none" w:pos="720"/>
          <w:tab w:val="left" w:leader="none" w:pos="851"/>
          <w:tab w:val="left" w:leader="none" w:pos="993"/>
          <w:tab w:val="left" w:leader="none" w:pos="1276"/>
        </w:tabs>
        <w:spacing w:after="0" w:before="0"/>
        <w:ind w:firstLine="0" w:left="0"/>
        <w:rPr>
          <w:rFonts w:eastAsia="Arial"/>
          <w:b/>
          <w:color w:val="000000"/>
          <w:sz w:val="24"/>
          <w:szCs w:val="24"/>
          <w:u w:val="single"/>
        </w:rPr>
      </w:pPr>
      <w:r>
        <w:rPr>
          <w:rFonts w:eastAsia="Arial"/>
          <w:color w:val="000000"/>
          <w:sz w:val="24"/>
          <w:szCs w:val="24"/>
        </w:rPr>
        <w:t xml:space="preserve">Registro no Registro Civil das Pessoas Jurídicas, em se tratando de sociedade simples.</w:t>
      </w:r>
      <w:r>
        <w:rPr>
          <w:rFonts w:eastAsia="Arial"/>
          <w:b/>
          <w:color w:val="000000"/>
          <w:sz w:val="24"/>
          <w:szCs w:val="24"/>
          <w:u w:val="single"/>
        </w:rPr>
      </w:r>
    </w:p>
    <w:p>
      <w:pPr>
        <w:pStyle w:val="1056"/>
        <w:numPr>
          <w:ilvl w:val="3"/>
          <w:numId w:val="18"/>
        </w:numPr>
        <w:pBdr/>
        <w:tabs>
          <w:tab w:val="clear" w:leader="none" w:pos="720"/>
          <w:tab w:val="left" w:leader="none" w:pos="851"/>
          <w:tab w:val="left" w:leader="none" w:pos="993"/>
          <w:tab w:val="left" w:leader="none" w:pos="1276"/>
        </w:tabs>
        <w:spacing w:after="0" w:before="0"/>
        <w:ind w:firstLine="0" w:left="0"/>
        <w:rPr>
          <w:rFonts w:eastAsia="Arial"/>
          <w:b/>
          <w:color w:val="000000"/>
          <w:sz w:val="24"/>
          <w:szCs w:val="24"/>
          <w:u w:val="single"/>
        </w:rPr>
      </w:pPr>
      <w:r>
        <w:rPr>
          <w:rFonts w:eastAsia="Arial"/>
          <w:color w:val="000000"/>
          <w:sz w:val="24"/>
          <w:szCs w:val="24"/>
        </w:rPr>
        <w:t xml:space="preserve">Ato Constituti</w:t>
      </w:r>
      <w:r>
        <w:rPr>
          <w:rFonts w:eastAsia="Arial"/>
          <w:color w:val="000000"/>
          <w:sz w:val="24"/>
          <w:szCs w:val="24"/>
        </w:rPr>
        <w:t xml:space="preserve">vo, Estatuto ou Contrato Social em vigor, devidamente registrado no órgão correspondente, indicando os atuais responsáveis pela administração, caso os responsáveis não constem no Contrato Social, documento que indique a responsabilidade pela administração.</w:t>
      </w:r>
      <w:r>
        <w:rPr>
          <w:rFonts w:eastAsia="Arial"/>
          <w:b/>
          <w:color w:val="000000"/>
          <w:sz w:val="24"/>
          <w:szCs w:val="24"/>
          <w:u w:val="single"/>
        </w:rPr>
      </w:r>
    </w:p>
    <w:p>
      <w:pPr>
        <w:pStyle w:val="1056"/>
        <w:numPr>
          <w:ilvl w:val="3"/>
          <w:numId w:val="18"/>
        </w:numPr>
        <w:pBdr/>
        <w:tabs>
          <w:tab w:val="clear" w:leader="none" w:pos="720"/>
          <w:tab w:val="left" w:leader="none" w:pos="851"/>
          <w:tab w:val="left" w:leader="none" w:pos="993"/>
          <w:tab w:val="left" w:leader="none" w:pos="1276"/>
        </w:tabs>
        <w:spacing w:after="0" w:before="0"/>
        <w:ind w:firstLine="0" w:left="0"/>
        <w:rPr>
          <w:rFonts w:eastAsia="Arial"/>
          <w:b/>
          <w:color w:val="000000"/>
          <w:sz w:val="24"/>
          <w:szCs w:val="24"/>
          <w:u w:val="single"/>
        </w:rPr>
      </w:pPr>
      <w:r>
        <w:rPr>
          <w:rFonts w:eastAsia="Arial"/>
          <w:color w:val="000000"/>
          <w:sz w:val="24"/>
          <w:szCs w:val="24"/>
        </w:rPr>
        <w:t xml:space="preserve">Cópia da ata da assembleia geral ou</w:t>
      </w:r>
      <w:r>
        <w:rPr>
          <w:rFonts w:eastAsia="Arial"/>
          <w:color w:val="000000"/>
          <w:sz w:val="24"/>
          <w:szCs w:val="24"/>
        </w:rPr>
        <w:t xml:space="preserve"> da reunião do conselho de administração atinente à eleição e ao mandato dos atuais administradores, evidenciando o devido registro na junta comercial pertinente ou a publicação prevista na Lei nº 6.404/76 e suas alterações, no caso de sociedades anônimas.</w:t>
      </w:r>
      <w:r>
        <w:rPr>
          <w:rFonts w:eastAsia="Arial"/>
          <w:b/>
          <w:color w:val="000000"/>
          <w:sz w:val="24"/>
          <w:szCs w:val="24"/>
          <w:u w:val="single"/>
        </w:rPr>
      </w:r>
    </w:p>
    <w:p>
      <w:pPr>
        <w:pStyle w:val="1056"/>
        <w:numPr>
          <w:ilvl w:val="3"/>
          <w:numId w:val="18"/>
        </w:numPr>
        <w:pBdr/>
        <w:tabs>
          <w:tab w:val="clear" w:leader="none" w:pos="720"/>
          <w:tab w:val="left" w:leader="none" w:pos="851"/>
          <w:tab w:val="left" w:leader="none" w:pos="993"/>
          <w:tab w:val="left" w:leader="none" w:pos="1276"/>
        </w:tabs>
        <w:spacing w:after="0" w:before="0"/>
        <w:ind w:firstLine="0" w:left="0"/>
        <w:rPr>
          <w:rFonts w:eastAsia="Arial"/>
          <w:b/>
          <w:color w:val="000000"/>
          <w:sz w:val="24"/>
          <w:szCs w:val="24"/>
          <w:u w:val="single"/>
        </w:rPr>
      </w:pPr>
      <w:r>
        <w:rPr>
          <w:rFonts w:eastAsia="Arial"/>
          <w:color w:val="000000"/>
          <w:sz w:val="24"/>
          <w:szCs w:val="24"/>
        </w:rPr>
        <w:t xml:space="preserve">Cópia do decreto de autorização para que se estabeleçam no país e ato de registro ou autorização para funcionamento expedido pelo órgão competente, no caso de empresas ou sociedades estrangeiras.</w:t>
      </w:r>
      <w:r>
        <w:rPr>
          <w:rFonts w:eastAsia="Arial"/>
          <w:b/>
          <w:color w:val="000000"/>
          <w:sz w:val="24"/>
          <w:szCs w:val="24"/>
          <w:u w:val="single"/>
        </w:rPr>
      </w:r>
    </w:p>
    <w:p>
      <w:pPr>
        <w:pStyle w:val="1056"/>
        <w:pBdr/>
        <w:tabs>
          <w:tab w:val="clear" w:leader="none" w:pos="720"/>
          <w:tab w:val="left" w:leader="none" w:pos="851"/>
        </w:tabs>
        <w:spacing w:after="0" w:before="0"/>
        <w:ind/>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p>
    <w:p>
      <w:pPr>
        <w:pStyle w:val="1056"/>
        <w:numPr>
          <w:ilvl w:val="2"/>
          <w:numId w:val="18"/>
        </w:numPr>
        <w:pBdr/>
        <w:tabs>
          <w:tab w:val="clear" w:leader="none" w:pos="720"/>
          <w:tab w:val="left" w:leader="none" w:pos="851"/>
          <w:tab w:val="left" w:leader="none" w:pos="993"/>
          <w:tab w:val="left" w:leader="none" w:pos="1701"/>
        </w:tabs>
        <w:spacing w:after="0" w:before="0"/>
        <w:ind w:firstLine="0" w:left="0"/>
        <w:rPr>
          <w:rFonts w:eastAsia="Arial"/>
          <w:color w:val="000000"/>
          <w:sz w:val="24"/>
          <w:szCs w:val="24"/>
          <w:u w:val="single"/>
        </w:rPr>
      </w:pPr>
      <w:r>
        <w:rPr>
          <w:b/>
          <w:bCs/>
          <w:sz w:val="24"/>
          <w:szCs w:val="24"/>
          <w:u w:val="single"/>
        </w:rPr>
        <w:t xml:space="preserve">REGULARIDADE FISCAL </w:t>
      </w:r>
      <w:r>
        <w:rPr>
          <w:b/>
          <w:sz w:val="24"/>
          <w:szCs w:val="24"/>
          <w:u w:val="single"/>
        </w:rPr>
        <w:t xml:space="preserve">(art. 62, III, NLLC)</w:t>
      </w:r>
      <w:r>
        <w:rPr>
          <w:rFonts w:eastAsia="Arial"/>
          <w:b/>
          <w:color w:val="000000"/>
          <w:sz w:val="24"/>
          <w:szCs w:val="24"/>
          <w:u w:val="single"/>
        </w:rPr>
        <w:t xml:space="preserve">:</w:t>
      </w:r>
      <w:r>
        <w:rPr>
          <w:rFonts w:eastAsia="Arial"/>
          <w:color w:val="000000"/>
          <w:sz w:val="24"/>
          <w:szCs w:val="24"/>
          <w:u w:val="single"/>
        </w:rPr>
      </w:r>
    </w:p>
    <w:p>
      <w:pPr>
        <w:pStyle w:val="1056"/>
        <w:pBdr/>
        <w:tabs>
          <w:tab w:val="clear" w:leader="none" w:pos="720"/>
          <w:tab w:val="left" w:leader="none" w:pos="851"/>
          <w:tab w:val="left" w:leader="none" w:pos="1701"/>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210"/>
        <w:numPr>
          <w:ilvl w:val="3"/>
          <w:numId w:val="18"/>
        </w:numPr>
        <w:pBdr/>
        <w:tabs>
          <w:tab w:val="clear" w:leader="none" w:pos="720"/>
          <w:tab w:val="left" w:leader="none" w:pos="851"/>
          <w:tab w:val="left" w:leader="none" w:pos="1276"/>
          <w:tab w:val="left" w:leader="none" w:pos="1418"/>
          <w:tab w:val="left" w:leader="none" w:pos="1701"/>
        </w:tabs>
        <w:spacing w:after="0" w:before="0"/>
        <w:ind w:firstLine="0" w:left="0"/>
        <w:contextualSpacing w:val="true"/>
        <w:rPr>
          <w:sz w:val="24"/>
          <w:szCs w:val="24"/>
        </w:rPr>
      </w:pPr>
      <w:r>
        <w:rPr>
          <w:sz w:val="24"/>
          <w:szCs w:val="24"/>
        </w:rPr>
        <w:t xml:space="preserve">Prova de inscrição no Cadastro Nacional de Pessoa Jurídica/</w:t>
      </w:r>
      <w:r>
        <w:rPr>
          <w:b/>
          <w:sz w:val="24"/>
          <w:szCs w:val="24"/>
        </w:rPr>
        <w:t xml:space="preserve">CNPJ</w:t>
      </w:r>
      <w:r>
        <w:rPr>
          <w:sz w:val="24"/>
          <w:szCs w:val="24"/>
        </w:rPr>
        <w:t xml:space="preserve">; (art. 68, I, NLLC)</w:t>
      </w:r>
      <w:r>
        <w:rPr>
          <w:sz w:val="24"/>
          <w:szCs w:val="24"/>
        </w:rPr>
      </w:r>
    </w:p>
    <w:p>
      <w:pPr>
        <w:pStyle w:val="1210"/>
        <w:numPr>
          <w:ilvl w:val="3"/>
          <w:numId w:val="18"/>
        </w:numPr>
        <w:pBdr/>
        <w:tabs>
          <w:tab w:val="clear" w:leader="none" w:pos="720"/>
          <w:tab w:val="left" w:leader="none" w:pos="851"/>
          <w:tab w:val="left" w:leader="none" w:pos="1276"/>
          <w:tab w:val="left" w:leader="none" w:pos="1418"/>
          <w:tab w:val="left" w:leader="none" w:pos="1701"/>
        </w:tabs>
        <w:spacing w:after="0" w:before="0"/>
        <w:ind w:firstLine="0" w:left="0"/>
        <w:contextualSpacing w:val="true"/>
        <w:rPr>
          <w:sz w:val="24"/>
          <w:szCs w:val="24"/>
        </w:rPr>
      </w:pPr>
      <w:r>
        <w:rPr>
          <w:sz w:val="24"/>
          <w:szCs w:val="24"/>
        </w:rPr>
        <w:t xml:space="preserve">Prova de </w:t>
      </w:r>
      <w:r>
        <w:rPr>
          <w:b/>
          <w:sz w:val="24"/>
          <w:szCs w:val="24"/>
        </w:rPr>
        <w:t xml:space="preserve">regularidade com a Fazenda Municipal</w:t>
      </w:r>
      <w:r>
        <w:rPr>
          <w:sz w:val="24"/>
          <w:szCs w:val="24"/>
        </w:rPr>
        <w:t xml:space="preserve">, em validade para o período desta licitação, do domicílio ou sede do licitante; (art. 68, III, NLLC)</w:t>
      </w:r>
      <w:r>
        <w:rPr>
          <w:sz w:val="24"/>
          <w:szCs w:val="24"/>
        </w:rPr>
      </w:r>
    </w:p>
    <w:p>
      <w:pPr>
        <w:pStyle w:val="1210"/>
        <w:numPr>
          <w:ilvl w:val="3"/>
          <w:numId w:val="18"/>
        </w:numPr>
        <w:pBdr/>
        <w:tabs>
          <w:tab w:val="clear" w:leader="none" w:pos="720"/>
          <w:tab w:val="left" w:leader="none" w:pos="851"/>
          <w:tab w:val="left" w:leader="none" w:pos="1276"/>
          <w:tab w:val="left" w:leader="none" w:pos="1418"/>
          <w:tab w:val="left" w:leader="none" w:pos="1701"/>
        </w:tabs>
        <w:spacing w:after="0" w:before="0"/>
        <w:ind w:firstLine="0" w:left="0"/>
        <w:contextualSpacing w:val="true"/>
        <w:rPr>
          <w:sz w:val="24"/>
          <w:szCs w:val="24"/>
        </w:rPr>
      </w:pPr>
      <w:r>
        <w:rPr>
          <w:sz w:val="24"/>
          <w:szCs w:val="24"/>
        </w:rPr>
        <w:t xml:space="preserve">Prova de regularidade com a </w:t>
      </w:r>
      <w:r>
        <w:rPr>
          <w:b/>
          <w:bCs/>
          <w:sz w:val="24"/>
          <w:szCs w:val="24"/>
        </w:rPr>
        <w:t xml:space="preserve">Fazenda Estadual</w:t>
      </w:r>
      <w:r>
        <w:rPr>
          <w:sz w:val="24"/>
          <w:szCs w:val="24"/>
        </w:rPr>
        <w:t xml:space="preserve"> (Certidão Negativa de tributo estadual – </w:t>
      </w:r>
      <w:r>
        <w:rPr>
          <w:sz w:val="24"/>
          <w:szCs w:val="24"/>
          <w:u w:val="single"/>
        </w:rPr>
        <w:t xml:space="preserve">apenas</w:t>
      </w:r>
      <w:r>
        <w:rPr>
          <w:sz w:val="24"/>
          <w:szCs w:val="24"/>
        </w:rPr>
        <w:t xml:space="preserve"> ICM/ICMS do domicílio da licitante); (art. 68, III, NLLC)</w:t>
      </w:r>
      <w:r>
        <w:rPr>
          <w:sz w:val="24"/>
          <w:szCs w:val="24"/>
        </w:rPr>
      </w:r>
    </w:p>
    <w:p>
      <w:pPr>
        <w:pStyle w:val="1210"/>
        <w:numPr>
          <w:ilvl w:val="3"/>
          <w:numId w:val="18"/>
        </w:numPr>
        <w:pBdr/>
        <w:tabs>
          <w:tab w:val="clear" w:leader="none" w:pos="720"/>
          <w:tab w:val="left" w:leader="none" w:pos="851"/>
          <w:tab w:val="left" w:leader="none" w:pos="1276"/>
          <w:tab w:val="left" w:leader="none" w:pos="1418"/>
          <w:tab w:val="left" w:leader="none" w:pos="1701"/>
        </w:tabs>
        <w:spacing w:after="0" w:before="0"/>
        <w:ind w:firstLine="0" w:left="0"/>
        <w:contextualSpacing w:val="true"/>
        <w:rPr>
          <w:sz w:val="24"/>
          <w:szCs w:val="24"/>
        </w:rPr>
      </w:pPr>
      <w:r>
        <w:rPr>
          <w:sz w:val="24"/>
          <w:szCs w:val="24"/>
        </w:rPr>
        <w:t xml:space="preserve">As </w:t>
      </w:r>
      <w:r>
        <w:rPr>
          <w:b/>
          <w:sz w:val="24"/>
          <w:szCs w:val="24"/>
        </w:rPr>
        <w:t xml:space="preserve">Certidões da Dívida Ativa</w:t>
      </w:r>
      <w:r>
        <w:rPr>
          <w:sz w:val="24"/>
          <w:szCs w:val="24"/>
        </w:rPr>
        <w:t xml:space="preserve">, no caso de empresas sediadas</w:t>
      </w:r>
      <w:r>
        <w:rPr>
          <w:spacing w:val="60"/>
          <w:sz w:val="24"/>
          <w:szCs w:val="24"/>
        </w:rPr>
        <w:t xml:space="preserve"> </w:t>
      </w:r>
      <w:r>
        <w:rPr>
          <w:sz w:val="24"/>
          <w:szCs w:val="24"/>
        </w:rPr>
        <w:t xml:space="preserve">no Estado</w:t>
      </w:r>
      <w:r>
        <w:rPr>
          <w:spacing w:val="1"/>
          <w:sz w:val="24"/>
          <w:szCs w:val="24"/>
        </w:rPr>
        <w:t xml:space="preserve"> </w:t>
      </w:r>
      <w:r>
        <w:rPr>
          <w:sz w:val="24"/>
          <w:szCs w:val="24"/>
        </w:rPr>
        <w:t xml:space="preserve">do</w:t>
      </w:r>
      <w:r>
        <w:rPr>
          <w:spacing w:val="1"/>
          <w:sz w:val="24"/>
          <w:szCs w:val="24"/>
        </w:rPr>
        <w:t xml:space="preserve"> </w:t>
      </w:r>
      <w:r>
        <w:rPr>
          <w:sz w:val="24"/>
          <w:szCs w:val="24"/>
        </w:rPr>
        <w:t xml:space="preserve">Rio</w:t>
      </w:r>
      <w:r>
        <w:rPr>
          <w:spacing w:val="1"/>
          <w:sz w:val="24"/>
          <w:szCs w:val="24"/>
        </w:rPr>
        <w:t xml:space="preserve"> </w:t>
      </w:r>
      <w:r>
        <w:rPr>
          <w:sz w:val="24"/>
          <w:szCs w:val="24"/>
        </w:rPr>
        <w:t xml:space="preserve">de Janeiro, deverão ser as expedidas pela </w:t>
      </w:r>
      <w:r>
        <w:rPr>
          <w:b/>
          <w:sz w:val="24"/>
          <w:szCs w:val="24"/>
        </w:rPr>
        <w:t xml:space="preserve">Procuradoria Geral do</w:t>
      </w:r>
      <w:r>
        <w:rPr>
          <w:b/>
          <w:spacing w:val="1"/>
          <w:sz w:val="24"/>
          <w:szCs w:val="24"/>
        </w:rPr>
        <w:t xml:space="preserve"> </w:t>
      </w:r>
      <w:r>
        <w:rPr>
          <w:b/>
          <w:sz w:val="24"/>
          <w:szCs w:val="24"/>
        </w:rPr>
        <w:t xml:space="preserve">Estado</w:t>
      </w:r>
      <w:r>
        <w:rPr>
          <w:b/>
          <w:spacing w:val="2"/>
          <w:sz w:val="24"/>
          <w:szCs w:val="24"/>
        </w:rPr>
        <w:t xml:space="preserve"> </w:t>
      </w:r>
      <w:r>
        <w:rPr>
          <w:b/>
          <w:sz w:val="24"/>
          <w:szCs w:val="24"/>
        </w:rPr>
        <w:t xml:space="preserve">(PGE). </w:t>
      </w:r>
      <w:r>
        <w:rPr>
          <w:sz w:val="24"/>
          <w:szCs w:val="24"/>
        </w:rPr>
        <w:t xml:space="preserve">(art. 68, III, NLLC)</w:t>
      </w:r>
      <w:r>
        <w:rPr>
          <w:sz w:val="24"/>
          <w:szCs w:val="24"/>
        </w:rPr>
      </w:r>
    </w:p>
    <w:p>
      <w:pPr>
        <w:pStyle w:val="1210"/>
        <w:numPr>
          <w:ilvl w:val="4"/>
          <w:numId w:val="18"/>
        </w:numPr>
        <w:pBdr/>
        <w:tabs>
          <w:tab w:val="clear" w:leader="none" w:pos="720"/>
          <w:tab w:val="left" w:leader="none" w:pos="851"/>
          <w:tab w:val="left" w:leader="none" w:pos="1276"/>
          <w:tab w:val="left" w:leader="none" w:pos="1418"/>
          <w:tab w:val="left" w:leader="none" w:pos="1701"/>
        </w:tabs>
        <w:spacing w:after="0" w:before="0"/>
        <w:ind w:firstLine="0" w:left="0"/>
        <w:contextualSpacing w:val="true"/>
        <w:rPr>
          <w:sz w:val="24"/>
          <w:szCs w:val="24"/>
        </w:rPr>
      </w:pPr>
      <w:r>
        <w:rPr>
          <w:sz w:val="24"/>
          <w:szCs w:val="24"/>
        </w:rPr>
        <w:t xml:space="preserve">Para</w:t>
      </w:r>
      <w:r>
        <w:rPr>
          <w:spacing w:val="1"/>
          <w:sz w:val="24"/>
          <w:szCs w:val="24"/>
        </w:rPr>
        <w:t xml:space="preserve"> </w:t>
      </w:r>
      <w:r>
        <w:rPr>
          <w:sz w:val="24"/>
          <w:szCs w:val="24"/>
        </w:rPr>
        <w:t xml:space="preserve">as</w:t>
      </w:r>
      <w:r>
        <w:rPr>
          <w:spacing w:val="1"/>
          <w:sz w:val="24"/>
          <w:szCs w:val="24"/>
        </w:rPr>
        <w:t xml:space="preserve"> </w:t>
      </w:r>
      <w:r>
        <w:rPr>
          <w:sz w:val="24"/>
          <w:szCs w:val="24"/>
        </w:rPr>
        <w:t xml:space="preserve">empresas</w:t>
      </w:r>
      <w:r>
        <w:rPr>
          <w:spacing w:val="1"/>
          <w:sz w:val="24"/>
          <w:szCs w:val="24"/>
        </w:rPr>
        <w:t xml:space="preserve"> </w:t>
      </w:r>
      <w:r>
        <w:rPr>
          <w:sz w:val="24"/>
          <w:szCs w:val="24"/>
        </w:rPr>
        <w:t xml:space="preserve">não</w:t>
      </w:r>
      <w:r>
        <w:rPr>
          <w:spacing w:val="1"/>
          <w:sz w:val="24"/>
          <w:szCs w:val="24"/>
        </w:rPr>
        <w:t xml:space="preserve"> </w:t>
      </w:r>
      <w:r>
        <w:rPr>
          <w:sz w:val="24"/>
          <w:szCs w:val="24"/>
        </w:rPr>
        <w:t xml:space="preserve">sediadas</w:t>
      </w:r>
      <w:r>
        <w:rPr>
          <w:spacing w:val="1"/>
          <w:sz w:val="24"/>
          <w:szCs w:val="24"/>
        </w:rPr>
        <w:t xml:space="preserve"> </w:t>
      </w:r>
      <w:r>
        <w:rPr>
          <w:sz w:val="24"/>
          <w:szCs w:val="24"/>
        </w:rPr>
        <w:t xml:space="preserve">no</w:t>
      </w:r>
      <w:r>
        <w:rPr>
          <w:spacing w:val="1"/>
          <w:sz w:val="24"/>
          <w:szCs w:val="24"/>
        </w:rPr>
        <w:t xml:space="preserve"> </w:t>
      </w:r>
      <w:r>
        <w:rPr>
          <w:sz w:val="24"/>
          <w:szCs w:val="24"/>
        </w:rPr>
        <w:t xml:space="preserve">Estado</w:t>
      </w:r>
      <w:r>
        <w:rPr>
          <w:spacing w:val="1"/>
          <w:sz w:val="24"/>
          <w:szCs w:val="24"/>
        </w:rPr>
        <w:t xml:space="preserve"> </w:t>
      </w:r>
      <w:r>
        <w:rPr>
          <w:sz w:val="24"/>
          <w:szCs w:val="24"/>
        </w:rPr>
        <w:t xml:space="preserve">do</w:t>
      </w:r>
      <w:r>
        <w:rPr>
          <w:spacing w:val="1"/>
          <w:sz w:val="24"/>
          <w:szCs w:val="24"/>
        </w:rPr>
        <w:t xml:space="preserve"> </w:t>
      </w:r>
      <w:r>
        <w:rPr>
          <w:sz w:val="24"/>
          <w:szCs w:val="24"/>
        </w:rPr>
        <w:t xml:space="preserve">Rio</w:t>
      </w:r>
      <w:r>
        <w:rPr>
          <w:spacing w:val="1"/>
          <w:sz w:val="24"/>
          <w:szCs w:val="24"/>
        </w:rPr>
        <w:t xml:space="preserve"> </w:t>
      </w:r>
      <w:r>
        <w:rPr>
          <w:sz w:val="24"/>
          <w:szCs w:val="24"/>
        </w:rPr>
        <w:t xml:space="preserve">de</w:t>
      </w:r>
      <w:r>
        <w:rPr>
          <w:spacing w:val="1"/>
          <w:sz w:val="24"/>
          <w:szCs w:val="24"/>
        </w:rPr>
        <w:t xml:space="preserve"> </w:t>
      </w:r>
      <w:r>
        <w:rPr>
          <w:sz w:val="24"/>
          <w:szCs w:val="24"/>
        </w:rPr>
        <w:t xml:space="preserve">Janeiro,</w:t>
      </w:r>
      <w:r>
        <w:rPr>
          <w:spacing w:val="1"/>
          <w:sz w:val="24"/>
          <w:szCs w:val="24"/>
        </w:rPr>
        <w:t xml:space="preserve"> </w:t>
      </w:r>
      <w:r>
        <w:rPr>
          <w:sz w:val="24"/>
          <w:szCs w:val="24"/>
        </w:rPr>
        <w:t xml:space="preserve">o</w:t>
      </w:r>
      <w:r>
        <w:rPr>
          <w:spacing w:val="1"/>
          <w:sz w:val="24"/>
          <w:szCs w:val="24"/>
        </w:rPr>
        <w:t xml:space="preserve"> </w:t>
      </w:r>
      <w:r>
        <w:rPr>
          <w:sz w:val="24"/>
          <w:szCs w:val="24"/>
        </w:rPr>
        <w:t xml:space="preserve">documento</w:t>
      </w:r>
      <w:r>
        <w:rPr>
          <w:spacing w:val="1"/>
          <w:sz w:val="24"/>
          <w:szCs w:val="24"/>
        </w:rPr>
        <w:t xml:space="preserve"> </w:t>
      </w:r>
      <w:r>
        <w:rPr>
          <w:sz w:val="24"/>
          <w:szCs w:val="24"/>
        </w:rPr>
        <w:t xml:space="preserve">emitido</w:t>
      </w:r>
      <w:r>
        <w:rPr>
          <w:spacing w:val="1"/>
          <w:sz w:val="24"/>
          <w:szCs w:val="24"/>
        </w:rPr>
        <w:t xml:space="preserve"> </w:t>
      </w:r>
      <w:r>
        <w:rPr>
          <w:sz w:val="24"/>
          <w:szCs w:val="24"/>
        </w:rPr>
        <w:t xml:space="preserve">pela</w:t>
      </w:r>
      <w:r>
        <w:rPr>
          <w:spacing w:val="1"/>
          <w:sz w:val="24"/>
          <w:szCs w:val="24"/>
        </w:rPr>
        <w:t xml:space="preserve"> </w:t>
      </w:r>
      <w:r>
        <w:rPr>
          <w:sz w:val="24"/>
          <w:szCs w:val="24"/>
        </w:rPr>
        <w:t xml:space="preserve">Fazenda</w:t>
      </w:r>
      <w:r>
        <w:rPr>
          <w:spacing w:val="1"/>
          <w:sz w:val="24"/>
          <w:szCs w:val="24"/>
        </w:rPr>
        <w:t xml:space="preserve"> </w:t>
      </w:r>
      <w:r>
        <w:rPr>
          <w:sz w:val="24"/>
          <w:szCs w:val="24"/>
        </w:rPr>
        <w:t xml:space="preserve">Estadual</w:t>
      </w:r>
      <w:r>
        <w:rPr>
          <w:spacing w:val="1"/>
          <w:sz w:val="24"/>
          <w:szCs w:val="24"/>
        </w:rPr>
        <w:t xml:space="preserve"> </w:t>
      </w:r>
      <w:r>
        <w:rPr>
          <w:sz w:val="24"/>
          <w:szCs w:val="24"/>
        </w:rPr>
        <w:t xml:space="preserve">ou</w:t>
      </w:r>
      <w:r>
        <w:rPr>
          <w:spacing w:val="1"/>
          <w:sz w:val="24"/>
          <w:szCs w:val="24"/>
        </w:rPr>
        <w:t xml:space="preserve"> </w:t>
      </w:r>
      <w:r>
        <w:rPr>
          <w:sz w:val="24"/>
          <w:szCs w:val="24"/>
        </w:rPr>
        <w:t xml:space="preserve">do</w:t>
      </w:r>
      <w:r>
        <w:rPr>
          <w:spacing w:val="1"/>
          <w:sz w:val="24"/>
          <w:szCs w:val="24"/>
        </w:rPr>
        <w:t xml:space="preserve"> </w:t>
      </w:r>
      <w:r>
        <w:rPr>
          <w:sz w:val="24"/>
          <w:szCs w:val="24"/>
        </w:rPr>
        <w:t xml:space="preserve">Distrito</w:t>
      </w:r>
      <w:r>
        <w:rPr>
          <w:spacing w:val="60"/>
          <w:sz w:val="24"/>
          <w:szCs w:val="24"/>
        </w:rPr>
        <w:t xml:space="preserve"> </w:t>
      </w:r>
      <w:r>
        <w:rPr>
          <w:sz w:val="24"/>
          <w:szCs w:val="24"/>
        </w:rPr>
        <w:t xml:space="preserve">Federal,</w:t>
      </w:r>
      <w:r>
        <w:rPr>
          <w:spacing w:val="61"/>
          <w:sz w:val="24"/>
          <w:szCs w:val="24"/>
        </w:rPr>
        <w:t xml:space="preserve"> </w:t>
      </w:r>
      <w:r>
        <w:rPr>
          <w:sz w:val="24"/>
          <w:szCs w:val="24"/>
        </w:rPr>
        <w:t xml:space="preserve">do</w:t>
      </w:r>
      <w:r>
        <w:rPr>
          <w:spacing w:val="1"/>
          <w:sz w:val="24"/>
          <w:szCs w:val="24"/>
        </w:rPr>
        <w:t xml:space="preserve"> </w:t>
      </w:r>
      <w:r>
        <w:rPr>
          <w:sz w:val="24"/>
          <w:szCs w:val="24"/>
        </w:rPr>
        <w:t xml:space="preserve">domicilio</w:t>
      </w:r>
      <w:r>
        <w:rPr>
          <w:spacing w:val="1"/>
          <w:sz w:val="24"/>
          <w:szCs w:val="24"/>
        </w:rPr>
        <w:t xml:space="preserve"> </w:t>
      </w:r>
      <w:r>
        <w:rPr>
          <w:sz w:val="24"/>
          <w:szCs w:val="24"/>
        </w:rPr>
        <w:t xml:space="preserve">ou</w:t>
      </w:r>
      <w:r>
        <w:rPr>
          <w:spacing w:val="1"/>
          <w:sz w:val="24"/>
          <w:szCs w:val="24"/>
        </w:rPr>
        <w:t xml:space="preserve"> </w:t>
      </w:r>
      <w:r>
        <w:rPr>
          <w:sz w:val="24"/>
          <w:szCs w:val="24"/>
        </w:rPr>
        <w:t xml:space="preserve">sede</w:t>
      </w:r>
      <w:r>
        <w:rPr>
          <w:spacing w:val="1"/>
          <w:sz w:val="24"/>
          <w:szCs w:val="24"/>
        </w:rPr>
        <w:t xml:space="preserve"> </w:t>
      </w:r>
      <w:r>
        <w:rPr>
          <w:sz w:val="24"/>
          <w:szCs w:val="24"/>
        </w:rPr>
        <w:t xml:space="preserve">do</w:t>
      </w:r>
      <w:r>
        <w:rPr>
          <w:spacing w:val="1"/>
          <w:sz w:val="24"/>
          <w:szCs w:val="24"/>
        </w:rPr>
        <w:t xml:space="preserve"> </w:t>
      </w:r>
      <w:r>
        <w:rPr>
          <w:sz w:val="24"/>
          <w:szCs w:val="24"/>
        </w:rPr>
        <w:t xml:space="preserve">licitante</w:t>
      </w:r>
      <w:r>
        <w:rPr>
          <w:spacing w:val="1"/>
          <w:sz w:val="24"/>
          <w:szCs w:val="24"/>
        </w:rPr>
        <w:t xml:space="preserve"> </w:t>
      </w:r>
      <w:r>
        <w:rPr>
          <w:sz w:val="24"/>
          <w:szCs w:val="24"/>
        </w:rPr>
        <w:t xml:space="preserve">deverá</w:t>
      </w:r>
      <w:r>
        <w:rPr>
          <w:spacing w:val="1"/>
          <w:sz w:val="24"/>
          <w:szCs w:val="24"/>
        </w:rPr>
        <w:t xml:space="preserve"> </w:t>
      </w:r>
      <w:r>
        <w:rPr>
          <w:sz w:val="24"/>
          <w:szCs w:val="24"/>
        </w:rPr>
        <w:t xml:space="preserve">comprovar</w:t>
      </w:r>
      <w:r>
        <w:rPr>
          <w:spacing w:val="1"/>
          <w:sz w:val="24"/>
          <w:szCs w:val="24"/>
        </w:rPr>
        <w:t xml:space="preserve"> </w:t>
      </w:r>
      <w:r>
        <w:rPr>
          <w:sz w:val="24"/>
          <w:szCs w:val="24"/>
        </w:rPr>
        <w:t xml:space="preserve">a</w:t>
      </w:r>
      <w:r>
        <w:rPr>
          <w:spacing w:val="1"/>
          <w:sz w:val="24"/>
          <w:szCs w:val="24"/>
        </w:rPr>
        <w:t xml:space="preserve"> </w:t>
      </w:r>
      <w:r>
        <w:rPr>
          <w:sz w:val="24"/>
          <w:szCs w:val="24"/>
        </w:rPr>
        <w:t xml:space="preserve">inexistência</w:t>
      </w:r>
      <w:r>
        <w:rPr>
          <w:spacing w:val="1"/>
          <w:sz w:val="24"/>
          <w:szCs w:val="24"/>
        </w:rPr>
        <w:t xml:space="preserve"> </w:t>
      </w:r>
      <w:r>
        <w:rPr>
          <w:sz w:val="24"/>
          <w:szCs w:val="24"/>
        </w:rPr>
        <w:t xml:space="preserve">tanto</w:t>
      </w:r>
      <w:r>
        <w:rPr>
          <w:spacing w:val="1"/>
          <w:sz w:val="24"/>
          <w:szCs w:val="24"/>
        </w:rPr>
        <w:t xml:space="preserve"> </w:t>
      </w:r>
      <w:r>
        <w:rPr>
          <w:sz w:val="24"/>
          <w:szCs w:val="24"/>
        </w:rPr>
        <w:t xml:space="preserve">de</w:t>
      </w:r>
      <w:r>
        <w:rPr>
          <w:spacing w:val="-58"/>
          <w:sz w:val="24"/>
          <w:szCs w:val="24"/>
        </w:rPr>
        <w:t xml:space="preserve"> </w:t>
      </w:r>
      <w:r>
        <w:rPr>
          <w:sz w:val="24"/>
          <w:szCs w:val="24"/>
        </w:rPr>
        <w:t xml:space="preserve">débitos inscritos quanto de não inscritos na Dívida Ativa ou demonstrar de</w:t>
      </w:r>
      <w:r>
        <w:rPr>
          <w:spacing w:val="1"/>
          <w:sz w:val="24"/>
          <w:szCs w:val="24"/>
        </w:rPr>
        <w:t xml:space="preserve"> </w:t>
      </w:r>
      <w:r>
        <w:rPr>
          <w:sz w:val="24"/>
          <w:szCs w:val="24"/>
        </w:rPr>
        <w:t xml:space="preserve">outra</w:t>
      </w:r>
      <w:r>
        <w:rPr>
          <w:spacing w:val="1"/>
          <w:sz w:val="24"/>
          <w:szCs w:val="24"/>
        </w:rPr>
        <w:t xml:space="preserve"> </w:t>
      </w:r>
      <w:r>
        <w:rPr>
          <w:sz w:val="24"/>
          <w:szCs w:val="24"/>
        </w:rPr>
        <w:t xml:space="preserve">forma</w:t>
      </w:r>
      <w:r>
        <w:rPr>
          <w:spacing w:val="1"/>
          <w:sz w:val="24"/>
          <w:szCs w:val="24"/>
        </w:rPr>
        <w:t xml:space="preserve"> </w:t>
      </w:r>
      <w:r>
        <w:rPr>
          <w:sz w:val="24"/>
          <w:szCs w:val="24"/>
        </w:rPr>
        <w:t xml:space="preserve">documental</w:t>
      </w:r>
      <w:r>
        <w:rPr>
          <w:spacing w:val="1"/>
          <w:sz w:val="24"/>
          <w:szCs w:val="24"/>
        </w:rPr>
        <w:t xml:space="preserve"> </w:t>
      </w:r>
      <w:r>
        <w:rPr>
          <w:sz w:val="24"/>
          <w:szCs w:val="24"/>
        </w:rPr>
        <w:t xml:space="preserve">tal</w:t>
      </w:r>
      <w:r>
        <w:rPr>
          <w:spacing w:val="1"/>
          <w:sz w:val="24"/>
          <w:szCs w:val="24"/>
        </w:rPr>
        <w:t xml:space="preserve"> </w:t>
      </w:r>
      <w:r>
        <w:rPr>
          <w:sz w:val="24"/>
          <w:szCs w:val="24"/>
        </w:rPr>
        <w:t xml:space="preserve">situação</w:t>
      </w:r>
      <w:r>
        <w:rPr>
          <w:spacing w:val="1"/>
          <w:sz w:val="24"/>
          <w:szCs w:val="24"/>
        </w:rPr>
        <w:t xml:space="preserve"> </w:t>
      </w:r>
      <w:r>
        <w:rPr>
          <w:sz w:val="24"/>
          <w:szCs w:val="24"/>
        </w:rPr>
        <w:t xml:space="preserve">fiscal,</w:t>
      </w:r>
      <w:r>
        <w:rPr>
          <w:spacing w:val="1"/>
          <w:sz w:val="24"/>
          <w:szCs w:val="24"/>
        </w:rPr>
        <w:t xml:space="preserve"> </w:t>
      </w:r>
      <w:r>
        <w:rPr>
          <w:sz w:val="24"/>
          <w:szCs w:val="24"/>
        </w:rPr>
        <w:t xml:space="preserve">podendo,</w:t>
      </w:r>
      <w:r>
        <w:rPr>
          <w:spacing w:val="1"/>
          <w:sz w:val="24"/>
          <w:szCs w:val="24"/>
        </w:rPr>
        <w:t xml:space="preserve"> </w:t>
      </w:r>
      <w:r>
        <w:rPr>
          <w:sz w:val="24"/>
          <w:szCs w:val="24"/>
        </w:rPr>
        <w:t xml:space="preserve">para</w:t>
      </w:r>
      <w:r>
        <w:rPr>
          <w:spacing w:val="1"/>
          <w:sz w:val="24"/>
          <w:szCs w:val="24"/>
        </w:rPr>
        <w:t xml:space="preserve"> </w:t>
      </w:r>
      <w:r>
        <w:rPr>
          <w:sz w:val="24"/>
          <w:szCs w:val="24"/>
        </w:rPr>
        <w:t xml:space="preserve">tanto,</w:t>
      </w:r>
      <w:r>
        <w:rPr>
          <w:spacing w:val="1"/>
          <w:sz w:val="24"/>
          <w:szCs w:val="24"/>
        </w:rPr>
        <w:t xml:space="preserve"> </w:t>
      </w:r>
      <w:r>
        <w:rPr>
          <w:sz w:val="24"/>
          <w:szCs w:val="24"/>
        </w:rPr>
        <w:t xml:space="preserve">estar</w:t>
      </w:r>
      <w:r>
        <w:rPr>
          <w:spacing w:val="1"/>
          <w:sz w:val="24"/>
          <w:szCs w:val="24"/>
        </w:rPr>
        <w:t xml:space="preserve"> </w:t>
      </w:r>
      <w:r>
        <w:rPr>
          <w:sz w:val="24"/>
          <w:szCs w:val="24"/>
        </w:rPr>
        <w:t xml:space="preserve">acompanhado</w:t>
      </w:r>
      <w:r>
        <w:rPr>
          <w:spacing w:val="1"/>
          <w:sz w:val="24"/>
          <w:szCs w:val="24"/>
        </w:rPr>
        <w:t xml:space="preserve"> </w:t>
      </w:r>
      <w:r>
        <w:rPr>
          <w:sz w:val="24"/>
          <w:szCs w:val="24"/>
        </w:rPr>
        <w:t xml:space="preserve">de</w:t>
      </w:r>
      <w:r>
        <w:rPr>
          <w:spacing w:val="1"/>
          <w:sz w:val="24"/>
          <w:szCs w:val="24"/>
        </w:rPr>
        <w:t xml:space="preserve"> </w:t>
      </w:r>
      <w:r>
        <w:rPr>
          <w:sz w:val="24"/>
          <w:szCs w:val="24"/>
        </w:rPr>
        <w:t xml:space="preserve">legislação</w:t>
      </w:r>
      <w:r>
        <w:rPr>
          <w:spacing w:val="1"/>
          <w:sz w:val="24"/>
          <w:szCs w:val="24"/>
        </w:rPr>
        <w:t xml:space="preserve"> </w:t>
      </w:r>
      <w:r>
        <w:rPr>
          <w:sz w:val="24"/>
          <w:szCs w:val="24"/>
        </w:rPr>
        <w:t xml:space="preserve">específica</w:t>
      </w:r>
      <w:r>
        <w:rPr>
          <w:spacing w:val="1"/>
          <w:sz w:val="24"/>
          <w:szCs w:val="24"/>
        </w:rPr>
        <w:t xml:space="preserve"> </w:t>
      </w:r>
      <w:r>
        <w:rPr>
          <w:sz w:val="24"/>
          <w:szCs w:val="24"/>
        </w:rPr>
        <w:t xml:space="preserve">ou</w:t>
      </w:r>
      <w:r>
        <w:rPr>
          <w:spacing w:val="1"/>
          <w:sz w:val="24"/>
          <w:szCs w:val="24"/>
        </w:rPr>
        <w:t xml:space="preserve"> </w:t>
      </w:r>
      <w:r>
        <w:rPr>
          <w:sz w:val="24"/>
          <w:szCs w:val="24"/>
        </w:rPr>
        <w:t xml:space="preserve">informação</w:t>
      </w:r>
      <w:r>
        <w:rPr>
          <w:spacing w:val="1"/>
          <w:sz w:val="24"/>
          <w:szCs w:val="24"/>
        </w:rPr>
        <w:t xml:space="preserve"> </w:t>
      </w:r>
      <w:r>
        <w:rPr>
          <w:sz w:val="24"/>
          <w:szCs w:val="24"/>
        </w:rPr>
        <w:t xml:space="preserve">oficial</w:t>
      </w:r>
      <w:r>
        <w:rPr>
          <w:spacing w:val="1"/>
          <w:sz w:val="24"/>
          <w:szCs w:val="24"/>
        </w:rPr>
        <w:t xml:space="preserve"> </w:t>
      </w:r>
      <w:r>
        <w:rPr>
          <w:sz w:val="24"/>
          <w:szCs w:val="24"/>
        </w:rPr>
        <w:t xml:space="preserve">do</w:t>
      </w:r>
      <w:r>
        <w:rPr>
          <w:spacing w:val="1"/>
          <w:sz w:val="24"/>
          <w:szCs w:val="24"/>
        </w:rPr>
        <w:t xml:space="preserve"> </w:t>
      </w:r>
      <w:r>
        <w:rPr>
          <w:sz w:val="24"/>
          <w:szCs w:val="24"/>
        </w:rPr>
        <w:t xml:space="preserve">órgão</w:t>
      </w:r>
      <w:r>
        <w:rPr>
          <w:spacing w:val="1"/>
          <w:sz w:val="24"/>
          <w:szCs w:val="24"/>
        </w:rPr>
        <w:t xml:space="preserve"> </w:t>
      </w:r>
      <w:r>
        <w:rPr>
          <w:sz w:val="24"/>
          <w:szCs w:val="24"/>
        </w:rPr>
        <w:t xml:space="preserve">fazendário.</w:t>
      </w:r>
      <w:r>
        <w:rPr>
          <w:sz w:val="24"/>
          <w:szCs w:val="24"/>
        </w:rPr>
      </w:r>
    </w:p>
    <w:p>
      <w:pPr>
        <w:pStyle w:val="1210"/>
        <w:numPr>
          <w:ilvl w:val="3"/>
          <w:numId w:val="18"/>
        </w:numPr>
        <w:pBdr/>
        <w:tabs>
          <w:tab w:val="clear" w:leader="none" w:pos="720"/>
          <w:tab w:val="left" w:leader="none" w:pos="851"/>
          <w:tab w:val="left" w:leader="none" w:pos="1276"/>
          <w:tab w:val="left" w:leader="none" w:pos="1418"/>
          <w:tab w:val="left" w:leader="none" w:pos="1701"/>
        </w:tabs>
        <w:spacing w:after="0" w:before="0"/>
        <w:ind w:firstLine="0" w:left="0"/>
        <w:contextualSpacing w:val="true"/>
        <w:rPr>
          <w:sz w:val="24"/>
          <w:szCs w:val="24"/>
        </w:rPr>
      </w:pPr>
      <w:r>
        <w:rPr>
          <w:b/>
          <w:sz w:val="24"/>
          <w:szCs w:val="24"/>
        </w:rPr>
        <w:t xml:space="preserve">Certidão Negativa de Débitos relativos a Créditos Tributários Federais e à Dívida Ativa da União (CND); </w:t>
      </w:r>
      <w:r>
        <w:rPr>
          <w:sz w:val="24"/>
          <w:szCs w:val="24"/>
        </w:rPr>
        <w:t xml:space="preserve">(art. 68, III, NLLC)</w:t>
      </w:r>
      <w:r>
        <w:rPr>
          <w:sz w:val="24"/>
          <w:szCs w:val="24"/>
        </w:rPr>
      </w:r>
    </w:p>
    <w:p>
      <w:pPr>
        <w:pStyle w:val="1056"/>
        <w:numPr>
          <w:ilvl w:val="3"/>
          <w:numId w:val="18"/>
        </w:numPr>
        <w:pBdr/>
        <w:tabs>
          <w:tab w:val="clear" w:leader="none" w:pos="720"/>
          <w:tab w:val="left" w:leader="none" w:pos="851"/>
          <w:tab w:val="left" w:leader="none" w:pos="1276"/>
          <w:tab w:val="left" w:leader="none" w:pos="1418"/>
          <w:tab w:val="left" w:leader="none" w:pos="1701"/>
        </w:tabs>
        <w:spacing w:after="0" w:before="0"/>
        <w:ind w:firstLine="0" w:left="0"/>
        <w:rPr>
          <w:rFonts w:eastAsia="Arial"/>
          <w:color w:val="000000"/>
          <w:sz w:val="24"/>
          <w:szCs w:val="24"/>
        </w:rPr>
      </w:pPr>
      <w:r>
        <w:rPr>
          <w:sz w:val="24"/>
          <w:szCs w:val="24"/>
        </w:rPr>
        <w:t xml:space="preserve">Certificado de Regularidade de Situação perante a Secretaria de Garantia por Tempo de Serviço – </w:t>
      </w:r>
      <w:r>
        <w:rPr>
          <w:b/>
          <w:sz w:val="24"/>
          <w:szCs w:val="24"/>
        </w:rPr>
        <w:t xml:space="preserve">FGTS</w:t>
      </w:r>
      <w:r>
        <w:rPr>
          <w:sz w:val="24"/>
          <w:szCs w:val="24"/>
        </w:rPr>
        <w:t xml:space="preserve">, expedida pela Caixa Econômica Federal – CEF; (art. 68, IV, NLLC)</w:t>
      </w:r>
      <w:r>
        <w:rPr>
          <w:rFonts w:eastAsia="Arial"/>
          <w:color w:val="000000"/>
          <w:sz w:val="24"/>
          <w:szCs w:val="24"/>
        </w:rPr>
        <w:t xml:space="preserve">;</w:t>
      </w:r>
      <w:r>
        <w:rPr>
          <w:rFonts w:eastAsia="Arial"/>
          <w:color w:val="000000"/>
          <w:sz w:val="24"/>
          <w:szCs w:val="24"/>
        </w:rPr>
      </w:r>
    </w:p>
    <w:p>
      <w:pPr>
        <w:pStyle w:val="1056"/>
        <w:pBdr/>
        <w:tabs>
          <w:tab w:val="clear" w:leader="none" w:pos="720"/>
          <w:tab w:val="left" w:leader="none" w:pos="851"/>
        </w:tabs>
        <w:spacing w:after="0" w:before="0"/>
        <w:ind/>
        <w:rPr>
          <w:b/>
          <w:sz w:val="24"/>
          <w:szCs w:val="24"/>
        </w:rPr>
      </w:pPr>
      <w:r>
        <w:rPr>
          <w:b/>
          <w:sz w:val="24"/>
          <w:szCs w:val="24"/>
        </w:rPr>
      </w:r>
      <w:r>
        <w:rPr>
          <w:b/>
          <w:sz w:val="24"/>
          <w:szCs w:val="24"/>
        </w:rPr>
      </w:r>
    </w:p>
    <w:p>
      <w:pPr>
        <w:pStyle w:val="1056"/>
        <w:pBdr/>
        <w:tabs>
          <w:tab w:val="left" w:leader="none" w:pos="709"/>
          <w:tab w:val="clear" w:leader="none" w:pos="720"/>
          <w:tab w:val="left" w:leader="none" w:pos="851"/>
        </w:tabs>
        <w:spacing w:after="0" w:before="0"/>
        <w:ind/>
        <w:rPr>
          <w:sz w:val="24"/>
          <w:szCs w:val="24"/>
        </w:rPr>
      </w:pPr>
      <w:r>
        <w:rPr>
          <w:b/>
          <w:sz w:val="24"/>
          <w:szCs w:val="24"/>
        </w:rPr>
        <w:t xml:space="preserve">Obs¹</w:t>
      </w:r>
      <w:r>
        <w:rPr>
          <w:sz w:val="24"/>
          <w:szCs w:val="24"/>
        </w:rPr>
        <w:t xml:space="preserve">:</w:t>
        <w:tab/>
        <w:t xml:space="preserve">Os documentos de habilitação que </w:t>
      </w:r>
      <w:r>
        <w:rPr>
          <w:b/>
          <w:sz w:val="24"/>
          <w:szCs w:val="24"/>
        </w:rPr>
        <w:t xml:space="preserve">não tiverem prazo de validade</w:t>
      </w:r>
      <w:r>
        <w:rPr>
          <w:sz w:val="24"/>
          <w:szCs w:val="24"/>
        </w:rPr>
        <w:t xml:space="preserve"> especificado no seu próprio texto, serão considerados válidos se estiverem dentro do </w:t>
      </w:r>
      <w:r>
        <w:rPr>
          <w:b/>
          <w:sz w:val="24"/>
          <w:szCs w:val="24"/>
        </w:rPr>
        <w:t xml:space="preserve">prazo de 180 (cento e oitenta) dias</w:t>
      </w:r>
      <w:r>
        <w:rPr>
          <w:sz w:val="24"/>
          <w:szCs w:val="24"/>
        </w:rPr>
        <w:t xml:space="preserve"> contados da data de sua emissão, ressalvada a hipótese da licitante comprovar prazo de validade superior, mediante norma pertinente que será juntada ao documento;</w:t>
      </w:r>
      <w:r>
        <w:rPr>
          <w:sz w:val="24"/>
          <w:szCs w:val="24"/>
        </w:rPr>
      </w:r>
    </w:p>
    <w:p>
      <w:pPr>
        <w:pStyle w:val="1056"/>
        <w:pBdr/>
        <w:tabs>
          <w:tab w:val="clear" w:leader="none" w:pos="720"/>
          <w:tab w:val="left" w:leader="none" w:pos="851"/>
        </w:tabs>
        <w:spacing w:after="0" w:before="0"/>
        <w:ind/>
        <w:rPr>
          <w:sz w:val="24"/>
          <w:szCs w:val="24"/>
        </w:rPr>
      </w:pPr>
      <w:r>
        <w:rPr>
          <w:b/>
          <w:sz w:val="24"/>
          <w:szCs w:val="24"/>
        </w:rPr>
        <w:t xml:space="preserve">Obs²:</w:t>
      </w:r>
      <w:r>
        <w:rPr>
          <w:sz w:val="24"/>
          <w:szCs w:val="24"/>
        </w:rPr>
        <w:tab/>
        <w:t xml:space="preserve">As microempresas e empresas de pequeno porte que desejarem utilizar-se da prerrogativa de que tratam as </w:t>
      </w:r>
      <w:r>
        <w:rPr>
          <w:b/>
          <w:sz w:val="24"/>
          <w:szCs w:val="24"/>
        </w:rPr>
        <w:t xml:space="preserve">Obs</w:t>
      </w:r>
      <w:r>
        <w:rPr>
          <w:b/>
          <w:sz w:val="24"/>
          <w:szCs w:val="24"/>
          <w:vertAlign w:val="superscript"/>
        </w:rPr>
        <w:t xml:space="preserve">4</w:t>
      </w:r>
      <w:r>
        <w:rPr>
          <w:sz w:val="24"/>
          <w:szCs w:val="24"/>
        </w:rPr>
        <w:t xml:space="preserve">, </w:t>
      </w:r>
      <w:r>
        <w:rPr>
          <w:b/>
          <w:sz w:val="24"/>
          <w:szCs w:val="24"/>
        </w:rPr>
        <w:t xml:space="preserve">Obs</w:t>
      </w:r>
      <w:r>
        <w:rPr>
          <w:b/>
          <w:sz w:val="24"/>
          <w:szCs w:val="24"/>
          <w:vertAlign w:val="superscript"/>
        </w:rPr>
        <w:t xml:space="preserve">5</w:t>
      </w:r>
      <w:r>
        <w:rPr>
          <w:sz w:val="24"/>
          <w:szCs w:val="24"/>
        </w:rPr>
        <w:t xml:space="preserve"> e </w:t>
      </w:r>
      <w:r>
        <w:rPr>
          <w:b/>
          <w:sz w:val="24"/>
          <w:szCs w:val="24"/>
        </w:rPr>
        <w:t xml:space="preserve">Obs</w:t>
      </w:r>
      <w:r>
        <w:rPr>
          <w:b/>
          <w:sz w:val="24"/>
          <w:szCs w:val="24"/>
          <w:vertAlign w:val="superscript"/>
        </w:rPr>
        <w:t xml:space="preserve">6</w:t>
      </w:r>
      <w:r>
        <w:rPr>
          <w:sz w:val="24"/>
          <w:szCs w:val="24"/>
        </w:rPr>
        <w:t xml:space="preserve"> deverão entregar à Comissão de Pregão declaração do Contador, ou do representante legal da empresa, ou da Junta Comercial que comprove esta situação;</w:t>
      </w:r>
      <w:r>
        <w:rPr>
          <w:sz w:val="24"/>
          <w:szCs w:val="24"/>
        </w:rPr>
      </w:r>
    </w:p>
    <w:p>
      <w:pPr>
        <w:pStyle w:val="1056"/>
        <w:pBdr/>
        <w:tabs>
          <w:tab w:val="left" w:leader="none" w:pos="709"/>
          <w:tab w:val="clear" w:leader="none" w:pos="720"/>
          <w:tab w:val="left" w:leader="none" w:pos="851"/>
        </w:tabs>
        <w:spacing w:after="0" w:before="0"/>
        <w:ind/>
        <w:rPr>
          <w:sz w:val="24"/>
          <w:szCs w:val="24"/>
        </w:rPr>
      </w:pPr>
      <w:r>
        <w:rPr>
          <w:b/>
          <w:sz w:val="24"/>
          <w:szCs w:val="24"/>
        </w:rPr>
        <w:t xml:space="preserve">Obs³: As microempresas e empresas de pequeno porte deverão apresentar os documentos elencados no item e subitens desta seção</w:t>
      </w:r>
      <w:r>
        <w:rPr>
          <w:sz w:val="24"/>
          <w:szCs w:val="24"/>
        </w:rPr>
        <w:t xml:space="preserve">, </w:t>
      </w:r>
      <w:r>
        <w:rPr>
          <w:b/>
          <w:sz w:val="24"/>
          <w:szCs w:val="24"/>
        </w:rPr>
        <w:t xml:space="preserve">mesmo que apresentem alguma restrição</w:t>
      </w:r>
      <w:r>
        <w:rPr>
          <w:sz w:val="24"/>
          <w:szCs w:val="24"/>
        </w:rPr>
        <w:t xml:space="preserve">;</w:t>
      </w:r>
      <w:r>
        <w:rPr>
          <w:sz w:val="24"/>
          <w:szCs w:val="24"/>
        </w:rPr>
      </w:r>
    </w:p>
    <w:p>
      <w:pPr>
        <w:pStyle w:val="1056"/>
        <w:pBdr/>
        <w:tabs>
          <w:tab w:val="clear" w:leader="none" w:pos="720"/>
          <w:tab w:val="left" w:leader="none" w:pos="851"/>
        </w:tabs>
        <w:spacing w:after="0" w:before="0"/>
        <w:ind/>
        <w:rPr>
          <w:sz w:val="24"/>
          <w:szCs w:val="24"/>
        </w:rPr>
      </w:pPr>
      <w:r>
        <w:rPr>
          <w:b/>
          <w:sz w:val="24"/>
          <w:szCs w:val="24"/>
        </w:rPr>
        <w:t xml:space="preserve">Obs</w:t>
      </w:r>
      <w:r>
        <w:rPr>
          <w:b/>
          <w:sz w:val="24"/>
          <w:szCs w:val="24"/>
          <w:vertAlign w:val="superscript"/>
        </w:rPr>
        <w:t xml:space="preserve">4</w:t>
      </w:r>
      <w:r>
        <w:rPr>
          <w:b/>
          <w:sz w:val="24"/>
          <w:szCs w:val="24"/>
        </w:rPr>
        <w:t xml:space="preserve">: </w:t>
      </w:r>
      <w:r>
        <w:rPr>
          <w:sz w:val="24"/>
          <w:szCs w:val="24"/>
        </w:rPr>
        <w:t xml:space="preserve">Havendo alguma restrição na comprovação da regularidade fiscal exigida neste Edital, será(ão) assegurado(s) à(s) microempresa(s) e empresa(s) de pequeno porte adjudicatária(s) deste certame o </w:t>
      </w:r>
      <w:r>
        <w:rPr>
          <w:b/>
          <w:sz w:val="24"/>
          <w:szCs w:val="24"/>
        </w:rPr>
        <w:t xml:space="preserve">prazo de 05 (cinco) dias úteis, contados a partir do momento em que for(em) declarada(s) a(s) vencedora(s), prorrogável por igual período, a critério da Administração Municipal</w:t>
      </w:r>
      <w:r>
        <w:rPr>
          <w:sz w:val="24"/>
          <w:szCs w:val="24"/>
        </w:rPr>
        <w:t xml:space="preserve">, para a regularização da documentação, pagamento ou parcelamento do débito, e emissão de eventuais certidões negativas ou positivas com efeito de certidão negativa;</w:t>
      </w:r>
      <w:r>
        <w:rPr>
          <w:sz w:val="24"/>
          <w:szCs w:val="24"/>
        </w:rPr>
      </w:r>
    </w:p>
    <w:p>
      <w:pPr>
        <w:pStyle w:val="1056"/>
        <w:pBdr/>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5</w:t>
      </w:r>
      <w:r>
        <w:rPr>
          <w:rFonts w:eastAsia="Arial"/>
          <w:color w:val="000000"/>
          <w:sz w:val="24"/>
          <w:szCs w:val="24"/>
        </w:rPr>
        <w:t xml:space="preserve">: A não-regularização da documentação, no prazo previsto na </w:t>
      </w:r>
      <w:r>
        <w:rPr>
          <w:rFonts w:ascii="Tahoma" w:hAnsi="Tahoma" w:eastAsia="Tahoma" w:cs="Tahoma"/>
          <w:color w:val="000000"/>
          <w:sz w:val="24"/>
          <w:szCs w:val="24"/>
          <w:u w:val="single"/>
        </w:rPr>
        <w:t xml:space="preserve">Obs</w:t>
      </w:r>
      <w:r>
        <w:rPr>
          <w:rFonts w:ascii="Tahoma" w:hAnsi="Tahoma" w:eastAsia="Tahoma" w:cs="Tahoma"/>
          <w:color w:val="000000"/>
          <w:sz w:val="24"/>
          <w:szCs w:val="24"/>
          <w:u w:val="single"/>
          <w:vertAlign w:val="superscript"/>
        </w:rPr>
        <w:t xml:space="preserve">5</w:t>
      </w:r>
      <w:r>
        <w:rPr>
          <w:rFonts w:eastAsia="Arial"/>
          <w:color w:val="000000"/>
          <w:sz w:val="24"/>
          <w:szCs w:val="24"/>
        </w:rPr>
        <w:t xml:space="preserve">, implicará decadência do direito à(s) contratação (ões), sem prejuízo das </w:t>
      </w:r>
      <w:r>
        <w:rPr>
          <w:rFonts w:eastAsia="Arial"/>
          <w:b/>
          <w:color w:val="000000"/>
          <w:sz w:val="24"/>
          <w:szCs w:val="24"/>
        </w:rPr>
        <w:t xml:space="preserve">sanções previstas na legislação vigente</w:t>
      </w:r>
      <w:r>
        <w:rPr>
          <w:rFonts w:eastAsia="Arial"/>
          <w:color w:val="000000"/>
          <w:sz w:val="24"/>
          <w:szCs w:val="24"/>
        </w:rPr>
        <w:t xml:space="preserve">, sendo facultado à Administração convocar as licitantes remanescentes, na ordem de classificação, para celebrá-la (em) a(s) contratação (ões), ou revogar a licitação.</w:t>
      </w:r>
      <w:r>
        <w:rPr>
          <w:rFonts w:eastAsia="Arial"/>
          <w:color w:val="000000"/>
          <w:sz w:val="24"/>
          <w:szCs w:val="24"/>
        </w:rPr>
      </w:r>
    </w:p>
    <w:p>
      <w:pPr>
        <w:pStyle w:val="1056"/>
        <w:pBdr/>
        <w:tabs>
          <w:tab w:val="clear" w:leader="none" w:pos="720"/>
          <w:tab w:val="left" w:leader="none" w:pos="9712"/>
        </w:tabs>
        <w:spacing w:after="0" w:before="0"/>
        <w:ind w:right="-51"/>
        <w:rPr>
          <w:rFonts w:eastAsia="Arial"/>
          <w:color w:val="000000"/>
          <w:sz w:val="24"/>
          <w:szCs w:val="24"/>
        </w:rPr>
      </w:pPr>
      <w:r>
        <w:rPr>
          <w:rFonts w:eastAsia="Arial"/>
          <w:color w:val="000000"/>
          <w:sz w:val="24"/>
          <w:szCs w:val="24"/>
        </w:rPr>
      </w:r>
      <w:r>
        <w:rPr>
          <w:rFonts w:eastAsia="Arial"/>
          <w:color w:val="000000"/>
          <w:sz w:val="24"/>
          <w:szCs w:val="24"/>
        </w:rPr>
      </w:r>
    </w:p>
    <w:p>
      <w:pPr>
        <w:pStyle w:val="1056"/>
        <w:numPr>
          <w:ilvl w:val="2"/>
          <w:numId w:val="18"/>
        </w:numPr>
        <w:pBdr/>
        <w:tabs>
          <w:tab w:val="left" w:leader="none" w:pos="426"/>
          <w:tab w:val="clear" w:leader="none" w:pos="720"/>
          <w:tab w:val="left" w:leader="none" w:pos="1134"/>
          <w:tab w:val="left" w:leader="none" w:pos="1276"/>
          <w:tab w:val="left" w:leader="none" w:pos="1701"/>
          <w:tab w:val="left" w:leader="none" w:pos="9212"/>
        </w:tabs>
        <w:spacing w:after="0" w:before="0"/>
        <w:ind/>
        <w:rPr>
          <w:rFonts w:eastAsia="Arial"/>
          <w:b/>
          <w:color w:val="000000"/>
          <w:sz w:val="24"/>
          <w:szCs w:val="24"/>
          <w:u w:val="single"/>
        </w:rPr>
      </w:pPr>
      <w:r/>
      <w:bookmarkStart w:id="46" w:name="bookmark=id.37m2jsg"/>
      <w:r/>
      <w:bookmarkEnd w:id="46"/>
      <w:r>
        <w:rPr>
          <w:b/>
          <w:sz w:val="24"/>
          <w:szCs w:val="24"/>
          <w:u w:val="single"/>
        </w:rPr>
        <w:t xml:space="preserve">REGULARIDADE ECONÔMICO-FINANCEIRA (art. 62, IV, NLLC)</w:t>
      </w:r>
      <w:r>
        <w:rPr>
          <w:rFonts w:eastAsia="Arial"/>
          <w:b/>
          <w:color w:val="000000"/>
          <w:sz w:val="24"/>
          <w:szCs w:val="24"/>
          <w:u w:val="single"/>
        </w:rPr>
        <w:t xml:space="preserve">:</w:t>
      </w:r>
      <w:r>
        <w:rPr>
          <w:rFonts w:eastAsia="Arial"/>
          <w:b/>
          <w:color w:val="000000"/>
          <w:sz w:val="24"/>
          <w:szCs w:val="24"/>
          <w:u w:val="single"/>
        </w:rPr>
      </w:r>
    </w:p>
    <w:p>
      <w:pPr>
        <w:pStyle w:val="1056"/>
        <w:pBdr/>
        <w:spacing/>
        <w:ind/>
        <w:rPr>
          <w:rFonts w:eastAsia="Arial"/>
          <w:b/>
          <w:color w:val="000000"/>
          <w:sz w:val="24"/>
          <w:szCs w:val="24"/>
        </w:rPr>
      </w:pPr>
      <w:r>
        <w:rPr>
          <w:rFonts w:eastAsia="Arial"/>
          <w:b/>
          <w:color w:val="000000"/>
          <w:sz w:val="24"/>
          <w:szCs w:val="24"/>
        </w:rPr>
      </w:r>
      <w:r>
        <w:rPr>
          <w:rFonts w:eastAsia="Arial"/>
          <w:b/>
          <w:color w:val="000000"/>
          <w:sz w:val="24"/>
          <w:szCs w:val="24"/>
        </w:rPr>
      </w:r>
    </w:p>
    <w:p>
      <w:pPr>
        <w:pStyle w:val="1209"/>
        <w:numPr>
          <w:ilvl w:val="3"/>
          <w:numId w:val="18"/>
        </w:numPr>
        <w:pBdr/>
        <w:tabs>
          <w:tab w:val="left" w:leader="none" w:pos="426"/>
          <w:tab w:val="left" w:leader="none" w:pos="1701"/>
          <w:tab w:val="left" w:leader="none" w:pos="9712"/>
        </w:tabs>
        <w:spacing w:after="0" w:before="0" w:line="280" w:lineRule="atLeast"/>
        <w:ind w:right="0" w:hanging="1080" w:left="1080"/>
        <w:jc w:val="both"/>
        <w:rPr>
          <w:rFonts w:ascii="Arial" w:hAnsi="Arial"/>
          <w:sz w:val="24"/>
          <w:szCs w:val="24"/>
          <w:u w:val="none"/>
        </w:rPr>
      </w:pPr>
      <w:r>
        <w:rPr>
          <w:rFonts w:eastAsia="Arial"/>
          <w:color w:val="000000"/>
          <w:sz w:val="24"/>
          <w:szCs w:val="24"/>
        </w:rPr>
        <w:t xml:space="preserve"> </w:t>
      </w:r>
      <w:r>
        <w:rPr>
          <w:rFonts w:ascii="Arial" w:hAnsi="Arial"/>
          <w:sz w:val="24"/>
          <w:szCs w:val="24"/>
        </w:rPr>
        <w:t xml:space="preserve">Balanço Patrimonial e Demonstrações Contábeis dos últimos 02 (dois) Exercícios Sociais</w:t>
      </w:r>
      <w:r>
        <w:rPr>
          <w:rFonts w:ascii="Arial" w:hAnsi="Arial"/>
          <w:sz w:val="24"/>
          <w:szCs w:val="24"/>
          <w:u w:val="none"/>
        </w:rPr>
        <w:t xml:space="preserve">, </w:t>
      </w:r>
      <w:r>
        <w:rPr>
          <w:rFonts w:ascii="Arial" w:hAnsi="Arial"/>
          <w:b w:val="0"/>
          <w:sz w:val="24"/>
          <w:szCs w:val="24"/>
          <w:u w:val="none"/>
        </w:rPr>
        <w:t xml:space="preserve">já exigíveis e apresentados na forma da lei, que comprovem a boa situação financeira da empresa, assinados pelo representante legal da licitante e por profissional d</w:t>
      </w:r>
      <w:r>
        <w:rPr>
          <w:rFonts w:ascii="Arial" w:hAnsi="Arial"/>
          <w:b w:val="0"/>
          <w:sz w:val="24"/>
          <w:szCs w:val="24"/>
          <w:u w:val="none"/>
        </w:rPr>
        <w:t xml:space="preserve">evidamente registrado no conselho regional de contabilidade (CRC), vedada a sua substituição por balancetes ou balanços provisórios, podendo ser atualizados por índices oficiais quando encerrados há mais de três meses da data da apresentação da proposta. (</w:t>
      </w:r>
      <w:r>
        <w:rPr>
          <w:rFonts w:ascii="Arial" w:hAnsi="Arial"/>
          <w:sz w:val="24"/>
          <w:szCs w:val="24"/>
          <w:u w:val="none"/>
        </w:rPr>
        <w:t xml:space="preserve">art. 69, I, NLLC</w:t>
      </w:r>
      <w:r>
        <w:rPr>
          <w:rFonts w:ascii="Arial" w:hAnsi="Arial"/>
          <w:b w:val="0"/>
          <w:sz w:val="24"/>
          <w:szCs w:val="24"/>
          <w:u w:val="none"/>
        </w:rPr>
        <w:t xml:space="preserve">)</w:t>
      </w:r>
      <w:r>
        <w:rPr>
          <w:rFonts w:ascii="Arial" w:hAnsi="Arial"/>
          <w:sz w:val="24"/>
          <w:szCs w:val="24"/>
          <w:u w:val="none"/>
        </w:rPr>
      </w:r>
    </w:p>
    <w:p>
      <w:pPr>
        <w:pStyle w:val="1209"/>
        <w:numPr>
          <w:ilvl w:val="3"/>
          <w:numId w:val="18"/>
        </w:numPr>
        <w:pBdr/>
        <w:tabs>
          <w:tab w:val="left" w:leader="none" w:pos="426"/>
          <w:tab w:val="left" w:leader="none" w:pos="1701"/>
          <w:tab w:val="left" w:leader="none" w:pos="9712"/>
        </w:tabs>
        <w:spacing w:after="0" w:before="0" w:line="280" w:lineRule="atLeast"/>
        <w:ind w:right="0" w:hanging="1080" w:left="1080"/>
        <w:jc w:val="both"/>
        <w:rPr>
          <w:rFonts w:ascii="Arial" w:hAnsi="Arial"/>
          <w:sz w:val="24"/>
          <w:szCs w:val="24"/>
          <w:u w:val="none"/>
        </w:rPr>
      </w:pPr>
      <w:r>
        <w:rPr>
          <w:rFonts w:ascii="Arial" w:hAnsi="Arial"/>
          <w:sz w:val="24"/>
          <w:szCs w:val="24"/>
        </w:rPr>
        <w:t xml:space="preserve">Certidão negativa de feitos sobre falência expedida pelo distribuidor da sede do licitante, </w:t>
      </w:r>
      <w:r>
        <w:rPr>
          <w:rFonts w:ascii="Arial" w:hAnsi="Arial"/>
          <w:b w:val="0"/>
          <w:sz w:val="24"/>
          <w:szCs w:val="24"/>
          <w:u w:val="none"/>
        </w:rPr>
        <w:t xml:space="preserve">não superior a 90 (noventa) dias, contados da data de apresentação da proposta. (</w:t>
      </w:r>
      <w:r>
        <w:rPr>
          <w:rFonts w:ascii="Arial" w:hAnsi="Arial"/>
          <w:sz w:val="24"/>
          <w:szCs w:val="24"/>
          <w:u w:val="none"/>
        </w:rPr>
        <w:t xml:space="preserve">art. 69, II, NLLC</w:t>
      </w:r>
      <w:r>
        <w:rPr>
          <w:rFonts w:ascii="Arial" w:hAnsi="Arial"/>
          <w:b w:val="0"/>
          <w:sz w:val="24"/>
          <w:szCs w:val="24"/>
          <w:u w:val="none"/>
        </w:rPr>
        <w:t xml:space="preserve">) </w:t>
      </w:r>
      <w:r>
        <w:rPr>
          <w:rFonts w:ascii="Arial" w:hAnsi="Arial"/>
          <w:sz w:val="24"/>
          <w:szCs w:val="24"/>
          <w:u w:val="none"/>
        </w:rPr>
      </w:r>
    </w:p>
    <w:p>
      <w:pPr>
        <w:pStyle w:val="1209"/>
        <w:numPr>
          <w:ilvl w:val="3"/>
          <w:numId w:val="18"/>
        </w:numPr>
        <w:pBdr/>
        <w:tabs>
          <w:tab w:val="left" w:leader="none" w:pos="426"/>
          <w:tab w:val="left" w:leader="none" w:pos="1701"/>
          <w:tab w:val="left" w:leader="none" w:pos="9712"/>
        </w:tabs>
        <w:spacing w:after="0" w:before="0" w:line="280" w:lineRule="atLeast"/>
        <w:ind w:right="0" w:hanging="1080" w:left="1080"/>
        <w:jc w:val="both"/>
        <w:rPr>
          <w:rFonts w:ascii="Arial" w:hAnsi="Arial"/>
          <w:sz w:val="24"/>
          <w:szCs w:val="24"/>
          <w:u w:val="none"/>
        </w:rPr>
      </w:pPr>
      <w:r>
        <w:rPr>
          <w:rFonts w:ascii="Arial" w:hAnsi="Arial"/>
          <w:b w:val="0"/>
          <w:sz w:val="24"/>
          <w:szCs w:val="24"/>
          <w:u w:val="none"/>
        </w:rPr>
        <w:t xml:space="preserve">Os licitantes sediados em outros Municípios, que não a capital, ou outros Estados da Federação deverão apresentar, juntamente com as certidões negativas exigidas, </w:t>
      </w:r>
      <w:r>
        <w:rPr>
          <w:rFonts w:ascii="Arial" w:hAnsi="Arial"/>
          <w:sz w:val="24"/>
          <w:szCs w:val="24"/>
        </w:rPr>
        <w:t xml:space="preserve">declaração oficial da Comarca de sua sede, indicando quais os Cartórios ou Ofícios de Registros que controlam a distribuição de Falências e Recuperação Judicial</w:t>
      </w:r>
      <w:r>
        <w:rPr>
          <w:rFonts w:ascii="Arial" w:hAnsi="Arial"/>
          <w:b w:val="0"/>
          <w:sz w:val="24"/>
          <w:szCs w:val="24"/>
          <w:u w:val="none"/>
        </w:rPr>
        <w:t xml:space="preserve">. As certidões deverão ter sido expedidas em até 180 (cento e oitenta) dias, da data constante para a realização da Licitação.</w:t>
      </w:r>
      <w:r>
        <w:rPr>
          <w:rFonts w:ascii="Arial" w:hAnsi="Arial"/>
          <w:sz w:val="24"/>
          <w:szCs w:val="24"/>
          <w:u w:val="none"/>
        </w:rPr>
      </w:r>
    </w:p>
    <w:p>
      <w:pPr>
        <w:pStyle w:val="1209"/>
        <w:pBdr/>
        <w:tabs>
          <w:tab w:val="left" w:leader="none" w:pos="426"/>
          <w:tab w:val="left" w:leader="none" w:pos="1701"/>
          <w:tab w:val="left" w:leader="none" w:pos="9712"/>
        </w:tabs>
        <w:spacing w:after="0" w:before="0" w:line="280" w:lineRule="atLeast"/>
        <w:ind w:right="0" w:left="1080"/>
        <w:jc w:val="both"/>
        <w:rPr>
          <w:rFonts w:ascii="Arial" w:hAnsi="Arial"/>
          <w:sz w:val="24"/>
          <w:szCs w:val="24"/>
          <w:u w:val="none"/>
        </w:rPr>
      </w:pPr>
      <w:r>
        <w:rPr>
          <w:rFonts w:ascii="Arial" w:hAnsi="Arial"/>
          <w:sz w:val="24"/>
          <w:szCs w:val="24"/>
          <w:u w:val="none"/>
        </w:rPr>
      </w:r>
      <w:r>
        <w:rPr>
          <w:rFonts w:ascii="Arial" w:hAnsi="Arial"/>
          <w:sz w:val="24"/>
          <w:szCs w:val="24"/>
          <w:u w:val="none"/>
        </w:rPr>
      </w:r>
    </w:p>
    <w:p>
      <w:pPr>
        <w:pStyle w:val="1056"/>
        <w:pBdr/>
        <w:spacing w:after="0" w:before="0"/>
        <w:ind/>
        <w:rPr>
          <w:rFonts w:eastAsia="Arial"/>
          <w:color w:val="000000"/>
          <w:sz w:val="24"/>
          <w:szCs w:val="24"/>
        </w:rPr>
      </w:pPr>
      <w:r>
        <w:rPr>
          <w:b/>
          <w:sz w:val="24"/>
          <w:szCs w:val="24"/>
        </w:rPr>
        <w:t xml:space="preserve">Obs.:</w:t>
      </w:r>
      <w:r>
        <w:rPr>
          <w:sz w:val="24"/>
          <w:szCs w:val="24"/>
        </w:rPr>
        <w:t xml:space="preserve"> Não será causa de inabilitação do licitante a anotação de distribuição de</w:t>
      </w:r>
      <w:r>
        <w:rPr>
          <w:spacing w:val="1"/>
          <w:sz w:val="24"/>
          <w:szCs w:val="24"/>
        </w:rPr>
        <w:t xml:space="preserve"> </w:t>
      </w:r>
      <w:r>
        <w:rPr>
          <w:sz w:val="24"/>
          <w:szCs w:val="24"/>
        </w:rPr>
        <w:t xml:space="preserve">processo de recuperação judicial ou de pedido de homologação de recuperação</w:t>
      </w:r>
      <w:r>
        <w:rPr>
          <w:spacing w:val="1"/>
          <w:sz w:val="24"/>
          <w:szCs w:val="24"/>
        </w:rPr>
        <w:t xml:space="preserve"> </w:t>
      </w:r>
      <w:r>
        <w:rPr>
          <w:sz w:val="24"/>
          <w:szCs w:val="24"/>
        </w:rPr>
        <w:t xml:space="preserve">extrajudicial, caso seja comprovado, no momento da entrega da documentação</w:t>
      </w:r>
      <w:r>
        <w:rPr>
          <w:spacing w:val="1"/>
          <w:sz w:val="24"/>
          <w:szCs w:val="24"/>
        </w:rPr>
        <w:t xml:space="preserve"> </w:t>
      </w:r>
      <w:r>
        <w:rPr>
          <w:sz w:val="24"/>
          <w:szCs w:val="24"/>
        </w:rPr>
        <w:t xml:space="preserve">exigida</w:t>
      </w:r>
      <w:r>
        <w:rPr>
          <w:spacing w:val="1"/>
          <w:sz w:val="24"/>
          <w:szCs w:val="24"/>
        </w:rPr>
        <w:t xml:space="preserve"> </w:t>
      </w:r>
      <w:r>
        <w:rPr>
          <w:sz w:val="24"/>
          <w:szCs w:val="24"/>
        </w:rPr>
        <w:t xml:space="preserve">no</w:t>
      </w:r>
      <w:r>
        <w:rPr>
          <w:spacing w:val="1"/>
          <w:sz w:val="24"/>
          <w:szCs w:val="24"/>
        </w:rPr>
        <w:t xml:space="preserve"> </w:t>
      </w:r>
      <w:r>
        <w:rPr>
          <w:sz w:val="24"/>
          <w:szCs w:val="24"/>
        </w:rPr>
        <w:t xml:space="preserve">presente</w:t>
      </w:r>
      <w:r>
        <w:rPr>
          <w:spacing w:val="1"/>
          <w:sz w:val="24"/>
          <w:szCs w:val="24"/>
        </w:rPr>
        <w:t xml:space="preserve"> </w:t>
      </w:r>
      <w:r>
        <w:rPr>
          <w:sz w:val="24"/>
          <w:szCs w:val="24"/>
        </w:rPr>
        <w:t xml:space="preserve">subitem, que</w:t>
      </w:r>
      <w:r>
        <w:rPr>
          <w:spacing w:val="1"/>
          <w:sz w:val="24"/>
          <w:szCs w:val="24"/>
        </w:rPr>
        <w:t xml:space="preserve"> </w:t>
      </w:r>
      <w:r>
        <w:rPr>
          <w:sz w:val="24"/>
          <w:szCs w:val="24"/>
        </w:rPr>
        <w:t xml:space="preserve">o</w:t>
      </w:r>
      <w:r>
        <w:rPr>
          <w:spacing w:val="1"/>
          <w:sz w:val="24"/>
          <w:szCs w:val="24"/>
        </w:rPr>
        <w:t xml:space="preserve"> </w:t>
      </w:r>
      <w:r>
        <w:rPr>
          <w:sz w:val="24"/>
          <w:szCs w:val="24"/>
        </w:rPr>
        <w:t xml:space="preserve">plano de</w:t>
      </w:r>
      <w:r>
        <w:rPr>
          <w:spacing w:val="1"/>
          <w:sz w:val="24"/>
          <w:szCs w:val="24"/>
        </w:rPr>
        <w:t xml:space="preserve"> </w:t>
      </w:r>
      <w:r>
        <w:rPr>
          <w:sz w:val="24"/>
          <w:szCs w:val="24"/>
        </w:rPr>
        <w:t xml:space="preserve">recuperação</w:t>
      </w:r>
      <w:r>
        <w:rPr>
          <w:spacing w:val="1"/>
          <w:sz w:val="24"/>
          <w:szCs w:val="24"/>
        </w:rPr>
        <w:t xml:space="preserve"> </w:t>
      </w:r>
      <w:r>
        <w:rPr>
          <w:sz w:val="24"/>
          <w:szCs w:val="24"/>
        </w:rPr>
        <w:t xml:space="preserve">já foi</w:t>
      </w:r>
      <w:r>
        <w:rPr>
          <w:spacing w:val="1"/>
          <w:sz w:val="24"/>
          <w:szCs w:val="24"/>
        </w:rPr>
        <w:t xml:space="preserve"> </w:t>
      </w:r>
      <w:r>
        <w:rPr>
          <w:sz w:val="24"/>
          <w:szCs w:val="24"/>
        </w:rPr>
        <w:t xml:space="preserve">aprovado</w:t>
      </w:r>
      <w:r>
        <w:rPr>
          <w:spacing w:val="1"/>
          <w:sz w:val="24"/>
          <w:szCs w:val="24"/>
        </w:rPr>
        <w:t xml:space="preserve"> </w:t>
      </w:r>
      <w:r>
        <w:rPr>
          <w:sz w:val="24"/>
          <w:szCs w:val="24"/>
        </w:rPr>
        <w:t xml:space="preserve">ou</w:t>
      </w:r>
      <w:r>
        <w:rPr>
          <w:spacing w:val="1"/>
          <w:sz w:val="24"/>
          <w:szCs w:val="24"/>
        </w:rPr>
        <w:t xml:space="preserve"> </w:t>
      </w:r>
      <w:r>
        <w:rPr>
          <w:sz w:val="24"/>
          <w:szCs w:val="24"/>
        </w:rPr>
        <w:t xml:space="preserve">homologado</w:t>
      </w:r>
      <w:r>
        <w:rPr>
          <w:spacing w:val="-3"/>
          <w:sz w:val="24"/>
          <w:szCs w:val="24"/>
        </w:rPr>
        <w:t xml:space="preserve"> </w:t>
      </w:r>
      <w:r>
        <w:rPr>
          <w:sz w:val="24"/>
          <w:szCs w:val="24"/>
        </w:rPr>
        <w:t xml:space="preserve">pelo</w:t>
      </w:r>
      <w:r>
        <w:rPr>
          <w:spacing w:val="-2"/>
          <w:sz w:val="24"/>
          <w:szCs w:val="24"/>
        </w:rPr>
        <w:t xml:space="preserve"> </w:t>
      </w:r>
      <w:r>
        <w:rPr>
          <w:sz w:val="24"/>
          <w:szCs w:val="24"/>
        </w:rPr>
        <w:t xml:space="preserve">Juízo</w:t>
      </w:r>
      <w:r>
        <w:rPr>
          <w:spacing w:val="-2"/>
          <w:sz w:val="24"/>
          <w:szCs w:val="24"/>
        </w:rPr>
        <w:t xml:space="preserve"> </w:t>
      </w:r>
      <w:r>
        <w:rPr>
          <w:sz w:val="24"/>
          <w:szCs w:val="24"/>
        </w:rPr>
        <w:t xml:space="preserve">competente</w:t>
      </w:r>
      <w:r>
        <w:rPr>
          <w:rFonts w:eastAsia="Arial"/>
          <w:color w:val="000000"/>
          <w:sz w:val="24"/>
          <w:szCs w:val="24"/>
        </w:rPr>
        <w:t xml:space="preserve">.</w:t>
      </w:r>
      <w:r>
        <w:rPr>
          <w:rFonts w:eastAsia="Arial"/>
          <w:color w:val="000000"/>
          <w:sz w:val="24"/>
          <w:szCs w:val="24"/>
        </w:rPr>
      </w:r>
    </w:p>
    <w:p>
      <w:pPr>
        <w:pStyle w:val="1056"/>
        <w:pBdr/>
        <w:tabs>
          <w:tab w:val="clear" w:leader="none" w:pos="720"/>
          <w:tab w:val="left" w:leader="none" w:pos="9712"/>
        </w:tabs>
        <w:spacing w:after="0" w:before="0"/>
        <w:ind/>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p>
    <w:p>
      <w:pPr>
        <w:pStyle w:val="1056"/>
        <w:numPr>
          <w:ilvl w:val="2"/>
          <w:numId w:val="18"/>
        </w:numPr>
        <w:pBdr/>
        <w:tabs>
          <w:tab w:val="left" w:leader="none" w:pos="426"/>
          <w:tab w:val="clear" w:leader="none" w:pos="720"/>
          <w:tab w:val="left" w:leader="none" w:pos="1134"/>
          <w:tab w:val="left" w:leader="none" w:pos="1701"/>
          <w:tab w:val="left" w:leader="none" w:pos="9212"/>
        </w:tabs>
        <w:spacing w:after="0" w:before="0"/>
        <w:ind/>
        <w:rPr>
          <w:rFonts w:eastAsia="Arial"/>
          <w:b/>
          <w:color w:val="000000"/>
          <w:sz w:val="24"/>
          <w:szCs w:val="24"/>
          <w:u w:val="single"/>
        </w:rPr>
      </w:pPr>
      <w:r/>
      <w:bookmarkStart w:id="47" w:name="bookmark=id.1mrcu09"/>
      <w:r/>
      <w:bookmarkEnd w:id="47"/>
      <w:r>
        <w:rPr>
          <w:b/>
          <w:bCs/>
          <w:sz w:val="24"/>
          <w:szCs w:val="24"/>
          <w:u w:val="single"/>
        </w:rPr>
        <w:t xml:space="preserve">REGULARIDADE TRABALHISTA (art. 62, III, NLLC)</w:t>
      </w:r>
      <w:r>
        <w:rPr>
          <w:rFonts w:eastAsia="Arial"/>
          <w:b/>
          <w:color w:val="000000"/>
          <w:sz w:val="24"/>
          <w:szCs w:val="24"/>
          <w:u w:val="single"/>
        </w:rPr>
        <w:t xml:space="preserve">:</w:t>
      </w:r>
      <w:r>
        <w:rPr>
          <w:rFonts w:eastAsia="Arial"/>
          <w:b/>
          <w:color w:val="000000"/>
          <w:sz w:val="24"/>
          <w:szCs w:val="24"/>
          <w:u w:val="single"/>
        </w:rPr>
      </w:r>
    </w:p>
    <w:p>
      <w:pPr>
        <w:pStyle w:val="1056"/>
        <w:pBdr/>
        <w:spacing/>
        <w:ind/>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p>
    <w:p>
      <w:pPr>
        <w:pStyle w:val="1056"/>
        <w:numPr>
          <w:ilvl w:val="3"/>
          <w:numId w:val="18"/>
        </w:numPr>
        <w:pBdr/>
        <w:tabs>
          <w:tab w:val="left" w:leader="none" w:pos="426"/>
          <w:tab w:val="clear" w:leader="none" w:pos="720"/>
          <w:tab w:val="left" w:leader="none" w:pos="993"/>
          <w:tab w:val="left" w:leader="none" w:pos="1276"/>
          <w:tab w:val="left" w:leader="none" w:pos="1701"/>
          <w:tab w:val="left" w:leader="none" w:pos="9212"/>
        </w:tabs>
        <w:spacing w:after="0" w:before="0"/>
        <w:ind w:firstLine="0" w:left="0"/>
        <w:rPr>
          <w:rFonts w:eastAsia="Arial"/>
          <w:b/>
          <w:color w:val="000000"/>
          <w:sz w:val="24"/>
          <w:szCs w:val="24"/>
          <w:u w:val="single"/>
        </w:rPr>
      </w:pPr>
      <w:r>
        <w:rPr>
          <w:sz w:val="24"/>
          <w:szCs w:val="24"/>
        </w:rPr>
        <w:t xml:space="preserve">Certidão Negativa de Débitos Trabalhistas – CNDT, expedida pelo Tribunal Superior do Trabalho, Lei nº 12.440/2011; </w:t>
      </w:r>
      <w:r>
        <w:rPr>
          <w:b/>
          <w:bCs/>
          <w:sz w:val="24"/>
          <w:szCs w:val="24"/>
        </w:rPr>
        <w:t xml:space="preserve">(art. 62, V, NLLC)</w:t>
      </w:r>
      <w:r>
        <w:rPr>
          <w:rFonts w:eastAsia="Arial"/>
          <w:b/>
          <w:color w:val="000000"/>
          <w:sz w:val="24"/>
          <w:szCs w:val="24"/>
          <w:u w:val="single"/>
        </w:rPr>
      </w:r>
    </w:p>
    <w:p>
      <w:pPr>
        <w:pStyle w:val="1056"/>
        <w:pBdr/>
        <w:spacing/>
        <w:ind/>
        <w:rPr>
          <w:rFonts w:eastAsia="Arial"/>
          <w:color w:val="000000"/>
          <w:sz w:val="24"/>
          <w:szCs w:val="24"/>
        </w:rPr>
      </w:pPr>
      <w:r>
        <w:rPr>
          <w:rFonts w:eastAsia="Arial"/>
          <w:color w:val="000000"/>
          <w:sz w:val="24"/>
          <w:szCs w:val="24"/>
        </w:rPr>
      </w:r>
      <w:r>
        <w:rPr>
          <w:rFonts w:eastAsia="Arial"/>
          <w:color w:val="000000"/>
          <w:sz w:val="24"/>
          <w:szCs w:val="24"/>
        </w:rPr>
      </w:r>
    </w:p>
    <w:p>
      <w:pPr>
        <w:pStyle w:val="1056"/>
        <w:numPr>
          <w:ilvl w:val="2"/>
          <w:numId w:val="18"/>
        </w:numPr>
        <w:pBdr/>
        <w:tabs>
          <w:tab w:val="clear" w:leader="none" w:pos="720"/>
          <w:tab w:val="left" w:leader="none" w:pos="1134"/>
          <w:tab w:val="left" w:leader="none" w:pos="1701"/>
        </w:tabs>
        <w:spacing w:after="480" w:before="120"/>
        <w:ind/>
        <w:rPr>
          <w:rFonts w:eastAsia="Arial"/>
          <w:color w:val="000000"/>
          <w:sz w:val="24"/>
          <w:szCs w:val="24"/>
          <w:u w:val="single"/>
        </w:rPr>
      </w:pPr>
      <w:r/>
      <w:bookmarkStart w:id="48" w:name="bookmark=id.46r0co2"/>
      <w:r/>
      <w:bookmarkEnd w:id="48"/>
      <w:r>
        <w:rPr>
          <w:b/>
          <w:sz w:val="24"/>
          <w:szCs w:val="24"/>
          <w:u w:val="single"/>
        </w:rPr>
        <w:t xml:space="preserve">QUALIFICAÇÃO</w:t>
      </w:r>
      <w:r>
        <w:rPr>
          <w:b/>
          <w:spacing w:val="36"/>
          <w:sz w:val="24"/>
          <w:szCs w:val="24"/>
          <w:u w:val="single"/>
        </w:rPr>
        <w:t xml:space="preserve"> </w:t>
      </w:r>
      <w:r>
        <w:rPr>
          <w:b/>
          <w:sz w:val="24"/>
          <w:szCs w:val="24"/>
          <w:u w:val="single"/>
        </w:rPr>
        <w:t xml:space="preserve">TÉCNICA </w:t>
      </w:r>
      <w:r>
        <w:rPr>
          <w:b/>
          <w:bCs/>
          <w:sz w:val="24"/>
          <w:szCs w:val="24"/>
          <w:u w:val="single"/>
        </w:rPr>
        <w:t xml:space="preserve">(art. 62, II, NLLC)</w:t>
      </w:r>
      <w:r>
        <w:rPr>
          <w:rFonts w:eastAsia="Arial"/>
          <w:b/>
          <w:color w:val="000000"/>
          <w:sz w:val="24"/>
          <w:szCs w:val="24"/>
          <w:u w:val="single"/>
        </w:rPr>
        <w:t xml:space="preserve">:</w:t>
      </w:r>
      <w:r>
        <w:rPr>
          <w:rFonts w:eastAsia="Arial"/>
          <w:color w:val="000000"/>
          <w:sz w:val="24"/>
          <w:szCs w:val="24"/>
          <w:u w:val="single"/>
        </w:rPr>
      </w:r>
    </w:p>
    <w:p>
      <w:pPr>
        <w:pStyle w:val="1056"/>
        <w:numPr>
          <w:ilvl w:val="3"/>
          <w:numId w:val="18"/>
        </w:numPr>
        <w:pBdr/>
        <w:tabs>
          <w:tab w:val="clear" w:leader="none" w:pos="720"/>
          <w:tab w:val="left" w:leader="none" w:pos="1276"/>
          <w:tab w:val="left" w:leader="none" w:pos="1418"/>
          <w:tab w:val="left" w:leader="none" w:pos="1701"/>
        </w:tabs>
        <w:spacing w:after="480" w:before="120"/>
        <w:ind w:firstLine="0" w:left="0"/>
        <w:rPr>
          <w:rFonts w:eastAsia="Arial"/>
          <w:color w:val="000000"/>
          <w:sz w:val="24"/>
          <w:szCs w:val="24"/>
          <w:u w:val="single"/>
        </w:rPr>
      </w:pPr>
      <w:r>
        <w:rPr>
          <w:rFonts w:eastAsia="Arial"/>
          <w:color w:val="000000"/>
          <w:sz w:val="24"/>
          <w:szCs w:val="24"/>
        </w:rPr>
        <w:t xml:space="preserve">Prova de capacidade técnica, mediante apresentação de </w:t>
      </w:r>
      <w:r>
        <w:rPr>
          <w:rFonts w:eastAsia="Arial"/>
          <w:b/>
          <w:color w:val="000000"/>
          <w:sz w:val="24"/>
          <w:szCs w:val="24"/>
        </w:rPr>
        <w:t xml:space="preserve">certidão(ões) ou atestado(s) fornecido(s) por pessoas jurídicas de direito público ou privado</w:t>
      </w:r>
      <w:r>
        <w:rPr>
          <w:rFonts w:eastAsia="Arial"/>
          <w:color w:val="000000"/>
          <w:sz w:val="24"/>
          <w:szCs w:val="24"/>
        </w:rPr>
        <w:t xml:space="preserve">, demonstrando fornecimento de produto pertinente e compatível com o objeto deste Edital.</w:t>
      </w:r>
      <w:r>
        <w:rPr>
          <w:rFonts w:eastAsia="Arial"/>
          <w:color w:val="000000"/>
          <w:sz w:val="24"/>
          <w:szCs w:val="24"/>
          <w:u w:val="single"/>
        </w:rPr>
      </w:r>
    </w:p>
    <w:p>
      <w:pPr>
        <w:pStyle w:val="1056"/>
        <w:pBdr/>
        <w:tabs>
          <w:tab w:val="clear" w:leader="none" w:pos="720"/>
          <w:tab w:val="left" w:leader="none" w:pos="8080"/>
          <w:tab w:val="left" w:leader="none" w:pos="8222"/>
        </w:tabs>
        <w:spacing/>
        <w:ind/>
        <w:rPr>
          <w:rFonts w:eastAsia="Arial"/>
          <w:color w:val="000000"/>
          <w:sz w:val="24"/>
          <w:szCs w:val="24"/>
        </w:rPr>
      </w:pPr>
      <w:r>
        <w:rPr>
          <w:rFonts w:eastAsia="Arial"/>
          <w:b/>
          <w:color w:val="000000"/>
          <w:sz w:val="24"/>
          <w:szCs w:val="24"/>
        </w:rPr>
        <w:t xml:space="preserve">Obs¹: </w:t>
      </w:r>
      <w:r>
        <w:rPr>
          <w:rFonts w:eastAsia="Arial"/>
          <w:color w:val="000000"/>
          <w:sz w:val="24"/>
          <w:szCs w:val="24"/>
        </w:rPr>
        <w:t xml:space="preserve">A(s) certidão(ões) ou atestado(s) deverá(ão) ser datado(s) e assinado(s) por</w:t>
      </w:r>
      <w:r>
        <w:rPr>
          <w:rFonts w:eastAsia="Arial"/>
          <w:color w:val="000000"/>
          <w:sz w:val="24"/>
          <w:szCs w:val="24"/>
        </w:rPr>
        <w:t xml:space="preserve"> pessoa física identificada pelo seu nome e cargo em exercício na entidade/empresa, bem como dados para eventual contato. As certidões poderão ser emitidas online, desde que com meios para conferência de autenticidade por meio eletrônico tais como Qr Code.</w:t>
      </w:r>
      <w:r>
        <w:rPr>
          <w:rFonts w:eastAsia="Arial"/>
          <w:color w:val="000000"/>
          <w:sz w:val="24"/>
          <w:szCs w:val="24"/>
        </w:rPr>
      </w:r>
    </w:p>
    <w:p>
      <w:pPr>
        <w:pStyle w:val="1056"/>
        <w:pBdr/>
        <w:tabs>
          <w:tab w:val="clear" w:leader="none" w:pos="720"/>
          <w:tab w:val="left" w:leader="none" w:pos="8080"/>
          <w:tab w:val="left" w:leader="none" w:pos="8222"/>
        </w:tabs>
        <w:spacing/>
        <w:ind w:left="-142"/>
        <w:rPr>
          <w:rFonts w:eastAsia="Arial"/>
          <w:color w:val="000000"/>
          <w:sz w:val="24"/>
          <w:szCs w:val="24"/>
        </w:rPr>
      </w:pPr>
      <w:r>
        <w:rPr>
          <w:rFonts w:eastAsia="Arial"/>
          <w:color w:val="000000"/>
          <w:sz w:val="24"/>
          <w:szCs w:val="24"/>
        </w:rPr>
      </w:r>
      <w:r>
        <w:rPr>
          <w:rFonts w:eastAsia="Arial"/>
          <w:color w:val="000000"/>
          <w:sz w:val="24"/>
          <w:szCs w:val="24"/>
        </w:rPr>
      </w:r>
    </w:p>
    <w:p>
      <w:pPr>
        <w:pStyle w:val="1056"/>
        <w:pBdr/>
        <w:tabs>
          <w:tab w:val="clear" w:leader="none" w:pos="720"/>
          <w:tab w:val="left" w:leader="none" w:pos="1276"/>
          <w:tab w:val="left" w:leader="none" w:pos="8080"/>
          <w:tab w:val="left" w:leader="none" w:pos="8222"/>
        </w:tabs>
        <w:spacing/>
        <w:ind/>
        <w:rPr>
          <w:rFonts w:eastAsia="Arial"/>
          <w:color w:val="000000"/>
          <w:sz w:val="24"/>
          <w:szCs w:val="24"/>
        </w:rPr>
      </w:pPr>
      <w:r>
        <w:rPr>
          <w:rFonts w:eastAsia="Arial"/>
          <w:b/>
          <w:color w:val="000000"/>
          <w:sz w:val="24"/>
          <w:szCs w:val="24"/>
        </w:rPr>
        <w:t xml:space="preserve">Obs²: </w:t>
      </w:r>
      <w:r>
        <w:rPr>
          <w:rFonts w:eastAsia="Arial"/>
          <w:color w:val="000000"/>
          <w:sz w:val="24"/>
          <w:szCs w:val="24"/>
        </w:rPr>
        <w:t xml:space="preserve">As certidões valerão nos prazos que lhes são próprios. Inexistindo esses prazos, reputar-se-ão válidas por </w:t>
      </w:r>
      <w:r>
        <w:rPr>
          <w:rFonts w:eastAsia="Arial"/>
          <w:b/>
          <w:color w:val="000000"/>
          <w:sz w:val="24"/>
          <w:szCs w:val="24"/>
        </w:rPr>
        <w:t xml:space="preserve">90 (noventa) dias</w:t>
      </w:r>
      <w:r>
        <w:rPr>
          <w:rFonts w:eastAsia="Arial"/>
          <w:color w:val="000000"/>
          <w:sz w:val="24"/>
          <w:szCs w:val="24"/>
        </w:rPr>
        <w:t xml:space="preserve">, contados de sua expedição.</w:t>
      </w:r>
      <w:r>
        <w:rPr>
          <w:rFonts w:eastAsia="Arial"/>
          <w:color w:val="000000"/>
          <w:sz w:val="24"/>
          <w:szCs w:val="24"/>
        </w:rPr>
      </w:r>
    </w:p>
    <w:p>
      <w:pPr>
        <w:pStyle w:val="1056"/>
        <w:pBdr/>
        <w:tabs>
          <w:tab w:val="clear" w:leader="none" w:pos="720"/>
          <w:tab w:val="left" w:leader="none" w:pos="1276"/>
          <w:tab w:val="left" w:leader="none" w:pos="8080"/>
          <w:tab w:val="left" w:leader="none" w:pos="8222"/>
        </w:tabs>
        <w:spacing/>
        <w:ind/>
        <w:rPr>
          <w:rFonts w:eastAsia="Arial"/>
          <w:color w:val="000000"/>
          <w:sz w:val="24"/>
          <w:szCs w:val="24"/>
        </w:rPr>
      </w:pPr>
      <w:r>
        <w:rPr>
          <w:rFonts w:eastAsia="Arial"/>
          <w:b/>
          <w:color w:val="000000"/>
          <w:sz w:val="24"/>
          <w:szCs w:val="24"/>
        </w:rPr>
        <w:t xml:space="preserve">Obs³: </w:t>
      </w:r>
      <w:r>
        <w:rPr>
          <w:rFonts w:eastAsia="Arial"/>
          <w:color w:val="000000"/>
          <w:sz w:val="24"/>
          <w:szCs w:val="24"/>
        </w:rPr>
        <w:t xml:space="preserve">Não serão aceitos protocolos de recebimentos ou solicitação de documentos em substituição aos documentos requeridos no presente Edital e seus Anexos.</w:t>
      </w:r>
      <w:r>
        <w:rPr>
          <w:rFonts w:eastAsia="Arial"/>
          <w:color w:val="000000"/>
          <w:sz w:val="24"/>
          <w:szCs w:val="24"/>
        </w:rPr>
      </w:r>
    </w:p>
    <w:p>
      <w:pPr>
        <w:pStyle w:val="1056"/>
        <w:pBdr/>
        <w:tabs>
          <w:tab w:val="clear" w:leader="none" w:pos="720"/>
          <w:tab w:val="left" w:leader="none" w:pos="1276"/>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4</w:t>
      </w:r>
      <w:r>
        <w:rPr>
          <w:rFonts w:eastAsia="Arial"/>
          <w:b/>
          <w:color w:val="000000"/>
          <w:sz w:val="24"/>
          <w:szCs w:val="24"/>
        </w:rPr>
        <w:t xml:space="preserve">: </w:t>
      </w:r>
      <w:r>
        <w:rPr>
          <w:rFonts w:eastAsia="Arial"/>
          <w:color w:val="000000"/>
          <w:sz w:val="24"/>
          <w:szCs w:val="24"/>
        </w:rPr>
        <w:t xml:space="preserve">A habilitação dos Licitantes será comprovada por meio de prévia e regular inscrição cadastral no SICAF, desde que os documentos comprobatórios estejam validados e atualizados.</w:t>
      </w:r>
      <w:r>
        <w:rPr>
          <w:rFonts w:eastAsia="Arial"/>
          <w:color w:val="000000"/>
          <w:sz w:val="24"/>
          <w:szCs w:val="24"/>
        </w:rPr>
      </w:r>
    </w:p>
    <w:p>
      <w:pPr>
        <w:pStyle w:val="1056"/>
        <w:pBdr/>
        <w:tabs>
          <w:tab w:val="clear" w:leader="none" w:pos="720"/>
          <w:tab w:val="left" w:leader="none" w:pos="1276"/>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5</w:t>
      </w:r>
      <w:r>
        <w:rPr>
          <w:rFonts w:eastAsia="Arial"/>
          <w:b/>
          <w:color w:val="000000"/>
          <w:sz w:val="24"/>
          <w:szCs w:val="24"/>
        </w:rPr>
        <w:t xml:space="preserve">: </w:t>
      </w:r>
      <w:r>
        <w:rPr>
          <w:rFonts w:eastAsia="Arial"/>
          <w:color w:val="000000"/>
          <w:sz w:val="24"/>
          <w:szCs w:val="24"/>
        </w:rPr>
        <w:t xml:space="preserve">O cadastro no SICAF, abrangente dos níveis indicados no art. 6º da Instrução Normativa SLTI/MPOG nº 3, de 26 abril de 2018, </w:t>
      </w:r>
      <w:r>
        <w:rPr>
          <w:rFonts w:eastAsia="Arial"/>
          <w:b/>
          <w:color w:val="000000"/>
          <w:sz w:val="24"/>
          <w:szCs w:val="24"/>
          <w:u w:val="single"/>
        </w:rPr>
        <w:t xml:space="preserve">PODERÁ SUBSTITUIR APENAS</w:t>
      </w:r>
      <w:r>
        <w:rPr>
          <w:rFonts w:eastAsia="Arial"/>
          <w:b/>
          <w:color w:val="000000"/>
          <w:sz w:val="24"/>
          <w:szCs w:val="24"/>
        </w:rPr>
        <w:t xml:space="preserve"> </w:t>
      </w:r>
      <w:r>
        <w:rPr>
          <w:rFonts w:eastAsia="Arial"/>
          <w:color w:val="000000"/>
          <w:sz w:val="24"/>
          <w:szCs w:val="24"/>
        </w:rPr>
        <w:t xml:space="preserve">os documentos indicados nos subitens acima.</w:t>
      </w:r>
      <w:r>
        <w:rPr>
          <w:rFonts w:eastAsia="Arial"/>
          <w:color w:val="000000"/>
          <w:sz w:val="24"/>
          <w:szCs w:val="24"/>
        </w:rPr>
      </w:r>
    </w:p>
    <w:p>
      <w:pPr>
        <w:pStyle w:val="1056"/>
        <w:pBdr/>
        <w:tabs>
          <w:tab w:val="clear" w:leader="none" w:pos="720"/>
          <w:tab w:val="left" w:leader="none" w:pos="1276"/>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6</w:t>
      </w:r>
      <w:r>
        <w:rPr>
          <w:rFonts w:eastAsia="Arial"/>
          <w:b/>
          <w:color w:val="000000"/>
          <w:sz w:val="24"/>
          <w:szCs w:val="24"/>
        </w:rPr>
        <w:t xml:space="preserve">: Habilitação Jurídica, Habilitação Fiscal, Habilitação Trabalhista e Qualificação Econômico-Financeira, </w:t>
      </w:r>
      <w:r>
        <w:rPr>
          <w:rFonts w:eastAsia="Arial"/>
          <w:color w:val="000000"/>
          <w:sz w:val="24"/>
          <w:szCs w:val="24"/>
          <w:u w:val="single"/>
        </w:rPr>
        <w:t xml:space="preserve">sendo que os demais são obrigatórios apresentação.</w:t>
      </w:r>
      <w:r>
        <w:rPr>
          <w:rFonts w:eastAsia="Arial"/>
          <w:color w:val="000000"/>
          <w:sz w:val="24"/>
          <w:szCs w:val="24"/>
        </w:rPr>
      </w:r>
    </w:p>
    <w:p>
      <w:pPr>
        <w:pStyle w:val="1056"/>
        <w:pBdr/>
        <w:tabs>
          <w:tab w:val="clear" w:leader="none" w:pos="720"/>
          <w:tab w:val="left" w:leader="none" w:pos="1276"/>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7</w:t>
      </w:r>
      <w:r>
        <w:rPr>
          <w:rFonts w:eastAsia="Arial"/>
          <w:b/>
          <w:color w:val="000000"/>
          <w:sz w:val="24"/>
          <w:szCs w:val="24"/>
        </w:rPr>
        <w:t xml:space="preserve">: </w:t>
      </w:r>
      <w:r>
        <w:rPr>
          <w:rFonts w:eastAsia="Arial"/>
          <w:color w:val="000000"/>
          <w:sz w:val="24"/>
          <w:szCs w:val="24"/>
        </w:rPr>
        <w:t xml:space="preserve">Na hipótese dos documentos se encontrarem vencidos no referido sistema (SICAF), o licitante convocado deverá encaminhar, juntamente com os demais, o documento válido que comprove o atendimento das exig</w:t>
      </w:r>
      <w:r>
        <w:rPr>
          <w:rFonts w:eastAsia="Arial"/>
          <w:color w:val="000000"/>
          <w:sz w:val="24"/>
          <w:szCs w:val="24"/>
        </w:rPr>
        <w:t xml:space="preserve">ências deste Edital, sob pena de inabilitação, ressalvando o disposto quanto à comprovação da regularidade fiscal das microempresas ou empresas de pequeno porte, conforme disposto na Lei Complementar nº 123/2006, alterada pela Lei Complementar nº 147/2014.</w:t>
      </w:r>
      <w:r>
        <w:rPr>
          <w:rFonts w:eastAsia="Arial"/>
          <w:color w:val="000000"/>
          <w:sz w:val="24"/>
          <w:szCs w:val="24"/>
        </w:rPr>
      </w:r>
    </w:p>
    <w:p>
      <w:pPr>
        <w:pStyle w:val="1056"/>
        <w:pBdr/>
        <w:tabs>
          <w:tab w:val="clear" w:leader="none" w:pos="720"/>
          <w:tab w:val="left" w:leader="none" w:pos="1276"/>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8</w:t>
      </w:r>
      <w:r>
        <w:rPr>
          <w:rFonts w:eastAsia="Arial"/>
          <w:b/>
          <w:color w:val="000000"/>
          <w:sz w:val="24"/>
          <w:szCs w:val="24"/>
        </w:rPr>
        <w:t xml:space="preserve">: </w:t>
      </w:r>
      <w:r>
        <w:rPr>
          <w:rFonts w:eastAsia="Arial"/>
          <w:color w:val="000000"/>
          <w:sz w:val="24"/>
          <w:szCs w:val="24"/>
        </w:rPr>
        <w:t xml:space="preserve">Também poderão ser consultados os sítios oficiais emissores de certidões de regularidade fiscal e trabalhista, especialmente quando o licitante esteja com alguma documentação vencida junto ao SICAF.</w:t>
      </w:r>
      <w:r>
        <w:rPr>
          <w:rFonts w:eastAsia="Arial"/>
          <w:color w:val="000000"/>
          <w:sz w:val="24"/>
          <w:szCs w:val="24"/>
        </w:rPr>
      </w:r>
    </w:p>
    <w:p>
      <w:pPr>
        <w:pStyle w:val="1056"/>
        <w:pBdr/>
        <w:tabs>
          <w:tab w:val="clear" w:leader="none" w:pos="720"/>
          <w:tab w:val="left" w:leader="none" w:pos="1276"/>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9</w:t>
      </w:r>
      <w:r>
        <w:rPr>
          <w:rFonts w:eastAsia="Arial"/>
          <w:b/>
          <w:color w:val="000000"/>
          <w:sz w:val="24"/>
          <w:szCs w:val="24"/>
        </w:rPr>
        <w:t xml:space="preserve">: </w:t>
      </w:r>
      <w:r>
        <w:rPr>
          <w:rFonts w:eastAsia="Arial"/>
          <w:color w:val="000000"/>
          <w:sz w:val="24"/>
          <w:szCs w:val="24"/>
        </w:rPr>
        <w:t xml:space="preserve">Os documentos de que tratam os subitens anteriores serão analisados pelo Pregoeiro e sua Equipe de Apoio quanto a sua conformidade com o solicitado neste Edital.</w:t>
      </w:r>
      <w:r>
        <w:rPr>
          <w:rFonts w:eastAsia="Arial"/>
          <w:color w:val="000000"/>
          <w:sz w:val="24"/>
          <w:szCs w:val="24"/>
        </w:rPr>
      </w:r>
    </w:p>
    <w:p>
      <w:pPr>
        <w:pStyle w:val="1056"/>
        <w:pBdr/>
        <w:tabs>
          <w:tab w:val="clear" w:leader="none" w:pos="720"/>
          <w:tab w:val="left" w:leader="none" w:pos="1276"/>
          <w:tab w:val="left" w:leader="none" w:pos="2410"/>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10</w:t>
      </w:r>
      <w:r>
        <w:rPr>
          <w:rFonts w:eastAsia="Arial"/>
          <w:b/>
          <w:color w:val="000000"/>
          <w:sz w:val="24"/>
          <w:szCs w:val="24"/>
        </w:rPr>
        <w:t xml:space="preserve">: </w:t>
      </w:r>
      <w:r>
        <w:rPr>
          <w:rFonts w:eastAsia="Arial"/>
          <w:color w:val="000000"/>
          <w:sz w:val="24"/>
          <w:szCs w:val="24"/>
        </w:rPr>
        <w:t xml:space="preserve">No julgamento da habilitação, o Pregoeiro poder</w:t>
      </w:r>
      <w:r>
        <w:rPr>
          <w:rFonts w:eastAsia="Arial"/>
          <w:color w:val="000000"/>
          <w:sz w:val="24"/>
          <w:szCs w:val="24"/>
        </w:rPr>
        <w:t xml:space="preserve">á sanar erros ou falhas que não alterem a substância das propostas, dos documentos e sua validade jurídica, mediante despacho fundamentado, registrado em ata e acessível a todos, atribuindo-lhes validade e eficácia para fins de habilitação e classificação.</w:t>
      </w:r>
      <w:r>
        <w:rPr>
          <w:rFonts w:eastAsia="Arial"/>
          <w:color w:val="000000"/>
          <w:sz w:val="24"/>
          <w:szCs w:val="24"/>
        </w:rPr>
      </w:r>
    </w:p>
    <w:p>
      <w:pPr>
        <w:pStyle w:val="1056"/>
        <w:pBdr/>
        <w:tabs>
          <w:tab w:val="clear" w:leader="none" w:pos="720"/>
          <w:tab w:val="left" w:leader="none" w:pos="1418"/>
          <w:tab w:val="left" w:leader="none" w:pos="2410"/>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11</w:t>
      </w:r>
      <w:r>
        <w:rPr>
          <w:rFonts w:eastAsia="Arial"/>
          <w:b/>
          <w:color w:val="000000"/>
          <w:sz w:val="24"/>
          <w:szCs w:val="24"/>
        </w:rPr>
        <w:t xml:space="preserve">: O não atendimento das exigências constantes no Edital</w:t>
      </w:r>
      <w:r>
        <w:rPr>
          <w:rFonts w:eastAsia="Arial"/>
          <w:color w:val="000000"/>
          <w:sz w:val="24"/>
          <w:szCs w:val="24"/>
        </w:rPr>
        <w:t xml:space="preserve"> </w:t>
      </w:r>
      <w:r>
        <w:rPr>
          <w:rFonts w:eastAsia="Arial"/>
          <w:b/>
          <w:color w:val="000000"/>
          <w:sz w:val="24"/>
          <w:szCs w:val="24"/>
        </w:rPr>
        <w:t xml:space="preserve">implicará a inabilitação do licitante.</w:t>
      </w:r>
      <w:r>
        <w:rPr>
          <w:rFonts w:eastAsia="Arial"/>
          <w:color w:val="000000"/>
          <w:sz w:val="24"/>
          <w:szCs w:val="24"/>
        </w:rPr>
      </w:r>
    </w:p>
    <w:p>
      <w:pPr>
        <w:pStyle w:val="1056"/>
        <w:pBdr/>
        <w:tabs>
          <w:tab w:val="clear" w:leader="none" w:pos="720"/>
          <w:tab w:val="left" w:leader="none" w:pos="1418"/>
          <w:tab w:val="left" w:leader="none" w:pos="2410"/>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12</w:t>
      </w:r>
      <w:r>
        <w:rPr>
          <w:rFonts w:eastAsia="Arial"/>
          <w:b/>
          <w:color w:val="000000"/>
          <w:sz w:val="24"/>
          <w:szCs w:val="24"/>
        </w:rPr>
        <w:t xml:space="preserve">: </w:t>
      </w:r>
      <w:r>
        <w:rPr>
          <w:rFonts w:eastAsia="Arial"/>
          <w:color w:val="000000"/>
          <w:sz w:val="24"/>
          <w:szCs w:val="24"/>
        </w:rPr>
        <w:t xml:space="preserve">O licitante provisoriamente vencedor em um item, que estiver concorrendo em outro item</w:t>
      </w:r>
      <w:r>
        <w:rPr>
          <w:rFonts w:eastAsia="Arial"/>
          <w:color w:val="000000"/>
          <w:sz w:val="24"/>
          <w:szCs w:val="24"/>
        </w:rPr>
        <w:t xml:space="preserve">, ficará obrigado a comprovar os requisitos de habilitação cumulativamente, isto é, somando as exigências do item em que venceu às do item em que estiver concorrendo, e assim sucessivamente, sob pena de inabilitação, além da aplicação das sanções cabíveis.</w:t>
      </w:r>
      <w:r>
        <w:rPr>
          <w:rFonts w:eastAsia="Arial"/>
          <w:color w:val="000000"/>
          <w:sz w:val="24"/>
          <w:szCs w:val="24"/>
        </w:rPr>
      </w:r>
    </w:p>
    <w:p>
      <w:pPr>
        <w:pStyle w:val="1056"/>
        <w:pBdr/>
        <w:tabs>
          <w:tab w:val="clear" w:leader="none" w:pos="720"/>
          <w:tab w:val="left" w:leader="none" w:pos="1418"/>
          <w:tab w:val="left" w:leader="none" w:pos="2410"/>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13</w:t>
      </w:r>
      <w:r>
        <w:rPr>
          <w:rFonts w:eastAsia="Arial"/>
          <w:b/>
          <w:color w:val="000000"/>
          <w:sz w:val="24"/>
          <w:szCs w:val="24"/>
        </w:rPr>
        <w:t xml:space="preserve">: </w:t>
      </w:r>
      <w:r>
        <w:rPr>
          <w:rFonts w:eastAsia="Arial"/>
          <w:color w:val="000000"/>
          <w:sz w:val="24"/>
          <w:szCs w:val="24"/>
        </w:rPr>
        <w:t xml:space="preserve">Não havendo a comprovação cumulativa dos requisitos de habilitação, a inabilitação recairá sobre o(s) item(ns) de menor(es) valor(es) cuja retirada(s) seja(m) suficiente(s) para a habilitação do licitante nos remanescentes.</w:t>
      </w:r>
      <w:r>
        <w:rPr>
          <w:rFonts w:eastAsia="Arial"/>
          <w:color w:val="000000"/>
          <w:sz w:val="24"/>
          <w:szCs w:val="24"/>
        </w:rPr>
      </w:r>
    </w:p>
    <w:p>
      <w:pPr>
        <w:pStyle w:val="1056"/>
        <w:pBdr/>
        <w:tabs>
          <w:tab w:val="clear" w:leader="none" w:pos="720"/>
          <w:tab w:val="left" w:leader="none" w:pos="1418"/>
          <w:tab w:val="left" w:leader="none" w:pos="2410"/>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14</w:t>
      </w:r>
      <w:r>
        <w:rPr>
          <w:rFonts w:eastAsia="Arial"/>
          <w:b/>
          <w:color w:val="000000"/>
          <w:sz w:val="24"/>
          <w:szCs w:val="24"/>
        </w:rPr>
        <w:t xml:space="preserve">: </w:t>
      </w:r>
      <w:r>
        <w:rPr>
          <w:rFonts w:eastAsia="Arial"/>
          <w:color w:val="000000"/>
          <w:sz w:val="24"/>
          <w:szCs w:val="24"/>
        </w:rPr>
        <w:t xml:space="preserve">Constatado o atendimento às exigências de habilitação fixadas no Edital, o licitante será declarado vencedor.</w:t>
      </w:r>
      <w:r>
        <w:rPr>
          <w:rFonts w:eastAsia="Arial"/>
          <w:color w:val="000000"/>
          <w:sz w:val="24"/>
          <w:szCs w:val="24"/>
        </w:rPr>
      </w:r>
    </w:p>
    <w:p>
      <w:pPr>
        <w:pStyle w:val="1056"/>
        <w:pBdr/>
        <w:tabs>
          <w:tab w:val="clear" w:leader="none" w:pos="720"/>
          <w:tab w:val="left" w:leader="none" w:pos="1418"/>
          <w:tab w:val="left" w:leader="none" w:pos="2410"/>
          <w:tab w:val="left" w:leader="none" w:pos="8080"/>
          <w:tab w:val="left" w:leader="none" w:pos="8222"/>
        </w:tabs>
        <w:spacing/>
        <w:ind/>
        <w:rPr>
          <w:rFonts w:eastAsia="Arial"/>
          <w:color w:val="000000"/>
          <w:sz w:val="24"/>
          <w:szCs w:val="24"/>
        </w:rPr>
      </w:pPr>
      <w:r>
        <w:rPr>
          <w:rFonts w:eastAsia="Arial"/>
          <w:color w:val="000000"/>
          <w:sz w:val="24"/>
          <w:szCs w:val="24"/>
        </w:rPr>
      </w:r>
      <w:r>
        <w:rPr>
          <w:rFonts w:eastAsia="Arial"/>
          <w:color w:val="000000"/>
          <w:sz w:val="24"/>
          <w:szCs w:val="24"/>
        </w:rPr>
      </w:r>
    </w:p>
    <w:p>
      <w:pPr>
        <w:pStyle w:val="1056"/>
        <w:numPr>
          <w:ilvl w:val="2"/>
          <w:numId w:val="18"/>
        </w:numPr>
        <w:pBdr/>
        <w:tabs>
          <w:tab w:val="clear" w:leader="none" w:pos="720"/>
          <w:tab w:val="left" w:leader="none" w:pos="1134"/>
          <w:tab w:val="left" w:leader="none" w:pos="1701"/>
        </w:tabs>
        <w:spacing w:after="480" w:before="120"/>
        <w:ind/>
        <w:rPr>
          <w:rFonts w:eastAsia="Arial"/>
          <w:b/>
          <w:color w:val="000000"/>
          <w:sz w:val="24"/>
          <w:szCs w:val="24"/>
          <w:u w:val="single"/>
        </w:rPr>
      </w:pPr>
      <w:r>
        <w:rPr>
          <w:rFonts w:eastAsia="Arial"/>
          <w:b/>
          <w:color w:val="000000"/>
          <w:sz w:val="24"/>
          <w:szCs w:val="24"/>
          <w:u w:val="single"/>
        </w:rPr>
        <w:t xml:space="preserve">DAS DECLARAÇÕES E DOCUMENTAÇÕES COMPLEMENTARES:</w:t>
      </w:r>
      <w:r>
        <w:rPr>
          <w:rFonts w:eastAsia="Arial"/>
          <w:b/>
          <w:color w:val="000000"/>
          <w:sz w:val="24"/>
          <w:szCs w:val="24"/>
          <w:u w:val="single"/>
        </w:rPr>
      </w:r>
    </w:p>
    <w:p>
      <w:pPr>
        <w:pStyle w:val="1056"/>
        <w:numPr>
          <w:ilvl w:val="3"/>
          <w:numId w:val="18"/>
        </w:numPr>
        <w:pBdr/>
        <w:spacing w:after="480" w:before="120"/>
        <w:ind/>
        <w:rPr>
          <w:rFonts w:eastAsia="Arial"/>
          <w:b/>
          <w:color w:val="000000"/>
          <w:sz w:val="24"/>
          <w:szCs w:val="24"/>
        </w:rPr>
      </w:pPr>
      <w:r>
        <w:rPr>
          <w:rFonts w:eastAsia="Arial"/>
          <w:b/>
          <w:color w:val="000000"/>
          <w:sz w:val="24"/>
          <w:szCs w:val="24"/>
        </w:rPr>
        <w:t xml:space="preserve">APRESENTAÇÃO DE DECLARAÇÃO UNIFICADA (ANEXO III):</w:t>
      </w:r>
      <w:r>
        <w:rPr>
          <w:rFonts w:eastAsia="Arial"/>
          <w:b/>
          <w:color w:val="000000"/>
          <w:sz w:val="24"/>
          <w:szCs w:val="24"/>
        </w:rPr>
      </w:r>
    </w:p>
    <w:p>
      <w:pPr>
        <w:pStyle w:val="1056"/>
        <w:numPr>
          <w:ilvl w:val="0"/>
          <w:numId w:val="6"/>
        </w:numPr>
        <w:pBdr/>
        <w:spacing w:after="0" w:before="280"/>
        <w:ind w:firstLine="0" w:left="0"/>
        <w:rPr>
          <w:rFonts w:eastAsia="Arial"/>
          <w:b/>
          <w:color w:val="ff0000"/>
          <w:sz w:val="24"/>
          <w:szCs w:val="24"/>
        </w:rPr>
      </w:pPr>
      <w:r>
        <w:rPr>
          <w:rFonts w:eastAsia="Arial"/>
          <w:color w:val="ff0000"/>
          <w:sz w:val="24"/>
          <w:szCs w:val="24"/>
        </w:rPr>
        <w:t xml:space="preserve">Declaração de que está ciente e </w:t>
      </w:r>
      <w:r>
        <w:rPr>
          <w:rFonts w:eastAsia="Arial"/>
          <w:b/>
          <w:bCs/>
          <w:color w:val="ff0000"/>
          <w:sz w:val="24"/>
          <w:szCs w:val="24"/>
        </w:rPr>
        <w:t xml:space="preserve">concorda com as condições contidas no edital e seus anexos</w:t>
      </w:r>
      <w:r>
        <w:rPr>
          <w:rFonts w:eastAsia="Arial"/>
          <w:color w:val="ff0000"/>
          <w:sz w:val="24"/>
          <w:szCs w:val="24"/>
        </w:rPr>
        <w:t xml:space="preserve">, bem como de que a proposta apresentada compreende a integralidade dos custos para atendimento dos direitos trabalhistas assegurados na Constituição Federal, nas l</w:t>
      </w:r>
      <w:r>
        <w:rPr>
          <w:rFonts w:eastAsia="Arial"/>
          <w:color w:val="ff0000"/>
          <w:sz w:val="24"/>
          <w:szCs w:val="24"/>
        </w:rPr>
        <w:t xml:space="preserve">eis trabalhistas, nas normas infralegais, nas convenções coletivas de trabalho e nos termos de ajustamento de condutas vigentes na data de sua entrega em definitivo e que cumpre plenamente os requisitos de habilitação definidos no instrumento convocatório </w:t>
      </w:r>
      <w:r>
        <w:rPr>
          <w:rFonts w:eastAsia="Arial"/>
          <w:b/>
          <w:color w:val="ff0000"/>
          <w:sz w:val="24"/>
          <w:szCs w:val="24"/>
        </w:rPr>
        <w:t xml:space="preserve">(Anexo III – inciso I);</w:t>
      </w:r>
      <w:r>
        <w:rPr>
          <w:rFonts w:eastAsia="Arial"/>
          <w:b/>
          <w:color w:val="ff0000"/>
          <w:sz w:val="24"/>
          <w:szCs w:val="24"/>
        </w:rPr>
      </w:r>
    </w:p>
    <w:p>
      <w:pPr>
        <w:pStyle w:val="1056"/>
        <w:numPr>
          <w:ilvl w:val="0"/>
          <w:numId w:val="6"/>
        </w:numPr>
        <w:pBdr/>
        <w:spacing w:after="0" w:before="0"/>
        <w:ind w:firstLine="0" w:left="0"/>
        <w:rPr>
          <w:rFonts w:eastAsia="Arial"/>
          <w:b/>
          <w:color w:val="ff0000"/>
          <w:sz w:val="24"/>
          <w:szCs w:val="24"/>
        </w:rPr>
      </w:pPr>
      <w:r>
        <w:rPr>
          <w:rFonts w:eastAsia="Arial"/>
          <w:color w:val="ff0000"/>
          <w:sz w:val="24"/>
          <w:szCs w:val="24"/>
        </w:rPr>
        <w:t xml:space="preserve">Declaração que os preços cotados incluem </w:t>
      </w:r>
      <w:r>
        <w:rPr>
          <w:rFonts w:eastAsia="Arial"/>
          <w:b/>
          <w:color w:val="ff0000"/>
          <w:sz w:val="24"/>
          <w:szCs w:val="24"/>
        </w:rPr>
        <w:t xml:space="preserve">todos os custos e despesas</w:t>
      </w:r>
      <w:r>
        <w:rPr>
          <w:rFonts w:eastAsia="Arial"/>
          <w:color w:val="ff0000"/>
          <w:sz w:val="24"/>
          <w:szCs w:val="24"/>
        </w:rPr>
        <w:t xml:space="preserve"> necessárias ao cumprimento integral das obrigações decorrentes desta licitação </w:t>
      </w:r>
      <w:r>
        <w:rPr>
          <w:rFonts w:eastAsia="Arial"/>
          <w:b/>
          <w:color w:val="ff0000"/>
          <w:sz w:val="24"/>
          <w:szCs w:val="24"/>
        </w:rPr>
        <w:t xml:space="preserve">(Anexo III – inciso II);</w:t>
      </w:r>
      <w:r>
        <w:rPr>
          <w:rFonts w:eastAsia="Arial"/>
          <w:b/>
          <w:color w:val="ff0000"/>
          <w:sz w:val="24"/>
          <w:szCs w:val="24"/>
        </w:rPr>
      </w:r>
    </w:p>
    <w:p>
      <w:pPr>
        <w:pStyle w:val="1056"/>
        <w:numPr>
          <w:ilvl w:val="0"/>
          <w:numId w:val="6"/>
        </w:numPr>
        <w:pBdr/>
        <w:spacing w:after="0" w:before="0"/>
        <w:ind w:firstLine="0" w:left="0"/>
        <w:rPr>
          <w:rFonts w:eastAsia="Arial"/>
          <w:b/>
          <w:color w:val="ff0000"/>
          <w:sz w:val="24"/>
          <w:szCs w:val="24"/>
        </w:rPr>
      </w:pPr>
      <w:r>
        <w:rPr>
          <w:rFonts w:eastAsia="Arial"/>
          <w:color w:val="ff0000"/>
          <w:sz w:val="24"/>
          <w:szCs w:val="24"/>
        </w:rPr>
        <w:t xml:space="preserve">Declaração que, por ser de seu conhecimento, </w:t>
      </w:r>
      <w:r>
        <w:rPr>
          <w:rFonts w:eastAsia="Arial"/>
          <w:b/>
          <w:color w:val="ff0000"/>
          <w:sz w:val="24"/>
          <w:szCs w:val="24"/>
        </w:rPr>
        <w:t xml:space="preserve">atende e se submete a todas as cláusulas e condições do Edital e Anexos</w:t>
      </w:r>
      <w:r>
        <w:rPr>
          <w:rFonts w:eastAsia="Arial"/>
          <w:color w:val="ff0000"/>
          <w:sz w:val="24"/>
          <w:szCs w:val="24"/>
        </w:rPr>
        <w:t xml:space="preserve">, relativos a licitação supra, bem como às disposições da Lei Federal nº</w:t>
      </w:r>
      <w:r>
        <w:rPr>
          <w:rFonts w:eastAsia="Arial"/>
          <w:color w:val="ff0000"/>
          <w:sz w:val="24"/>
          <w:szCs w:val="24"/>
        </w:rPr>
        <w:t xml:space="preserve"> 14.133/2021 Lei Complementar nº 123/2006, com a redação que lhe atribuiu a Lei Complementar 147/2014 e Decretos nº 56.475/2015 e, e demais normas complementares que disciplinam o certame e que integrarão o ajuste correspondente, no que lhe for pertinente </w:t>
      </w:r>
      <w:r>
        <w:rPr>
          <w:rFonts w:eastAsia="Arial"/>
          <w:b/>
          <w:color w:val="ff0000"/>
          <w:sz w:val="24"/>
          <w:szCs w:val="24"/>
        </w:rPr>
        <w:t xml:space="preserve">(Anexo III – inciso III);</w:t>
      </w:r>
      <w:r>
        <w:rPr>
          <w:rFonts w:eastAsia="Arial"/>
          <w:b/>
          <w:color w:val="ff0000"/>
          <w:sz w:val="24"/>
          <w:szCs w:val="24"/>
        </w:rPr>
      </w:r>
    </w:p>
    <w:p>
      <w:pPr>
        <w:pStyle w:val="1056"/>
        <w:numPr>
          <w:ilvl w:val="0"/>
          <w:numId w:val="6"/>
        </w:numPr>
        <w:pBdr/>
        <w:spacing w:after="0" w:before="0"/>
        <w:ind w:firstLine="0" w:left="0"/>
        <w:rPr>
          <w:rFonts w:eastAsia="Arial"/>
          <w:b/>
          <w:color w:val="ff0000"/>
          <w:sz w:val="24"/>
          <w:szCs w:val="24"/>
        </w:rPr>
      </w:pPr>
      <w:r>
        <w:rPr>
          <w:rFonts w:eastAsia="Arial"/>
          <w:color w:val="ff0000"/>
          <w:sz w:val="24"/>
          <w:szCs w:val="24"/>
        </w:rPr>
        <w:t xml:space="preserve">Declaração que tem condições de fornecer a quantidade estabelecida no prazo assinalado, independentemente dos demais compromissos de fornecimento porventura existentes, bem como que </w:t>
      </w:r>
      <w:r>
        <w:rPr>
          <w:rFonts w:eastAsia="Arial"/>
          <w:b/>
          <w:color w:val="ff0000"/>
          <w:sz w:val="24"/>
          <w:szCs w:val="24"/>
        </w:rPr>
        <w:t xml:space="preserve">fornecerá o material de acordo com as especificações técnicas (Anexo I do Edital)</w:t>
      </w:r>
      <w:r>
        <w:rPr>
          <w:rFonts w:eastAsia="Arial"/>
          <w:color w:val="ff0000"/>
          <w:sz w:val="24"/>
          <w:szCs w:val="24"/>
        </w:rPr>
        <w:t xml:space="preserve">, respeitando as condições de embalagens, prazos de validade, requisitos específicos, enfim todas as especificações </w:t>
      </w:r>
      <w:r>
        <w:rPr>
          <w:rFonts w:eastAsia="Arial"/>
          <w:b/>
          <w:color w:val="ff0000"/>
          <w:sz w:val="24"/>
          <w:szCs w:val="24"/>
        </w:rPr>
        <w:t xml:space="preserve">(Anexo III – inciso IV);</w:t>
      </w:r>
      <w:r>
        <w:rPr>
          <w:rFonts w:eastAsia="Arial"/>
          <w:b/>
          <w:color w:val="ff0000"/>
          <w:sz w:val="24"/>
          <w:szCs w:val="24"/>
        </w:rPr>
      </w:r>
    </w:p>
    <w:p>
      <w:pPr>
        <w:pStyle w:val="1056"/>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de </w:t>
      </w:r>
      <w:r>
        <w:rPr>
          <w:rFonts w:eastAsia="Arial"/>
          <w:b/>
          <w:color w:val="000000"/>
          <w:sz w:val="24"/>
          <w:szCs w:val="24"/>
        </w:rPr>
        <w:t xml:space="preserve">inexistência de fatos supervenientes (Anexo III – inciso V);</w:t>
      </w:r>
      <w:r>
        <w:rPr>
          <w:rFonts w:eastAsia="Arial"/>
          <w:b/>
          <w:color w:val="000000"/>
          <w:sz w:val="24"/>
          <w:szCs w:val="24"/>
        </w:rPr>
      </w:r>
    </w:p>
    <w:p>
      <w:pPr>
        <w:pStyle w:val="1056"/>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de </w:t>
      </w:r>
      <w:r>
        <w:rPr>
          <w:rFonts w:eastAsia="Arial"/>
          <w:b/>
          <w:color w:val="000000"/>
          <w:sz w:val="24"/>
          <w:szCs w:val="24"/>
        </w:rPr>
        <w:t xml:space="preserve">inidoneidade</w:t>
      </w:r>
      <w:r>
        <w:rPr>
          <w:rFonts w:eastAsia="Arial"/>
          <w:color w:val="000000"/>
          <w:sz w:val="24"/>
          <w:szCs w:val="24"/>
        </w:rPr>
        <w:t xml:space="preserve"> </w:t>
      </w:r>
      <w:r>
        <w:rPr>
          <w:rFonts w:eastAsia="Arial"/>
          <w:b/>
          <w:color w:val="000000"/>
          <w:sz w:val="24"/>
          <w:szCs w:val="24"/>
        </w:rPr>
        <w:t xml:space="preserve">(Anexo III – inciso VI);</w:t>
      </w:r>
      <w:r>
        <w:rPr>
          <w:rFonts w:eastAsia="Arial"/>
          <w:b/>
          <w:color w:val="000000"/>
          <w:sz w:val="24"/>
          <w:szCs w:val="24"/>
        </w:rPr>
      </w:r>
    </w:p>
    <w:p>
      <w:pPr>
        <w:pStyle w:val="1056"/>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de que não emprega </w:t>
      </w:r>
      <w:r>
        <w:rPr>
          <w:rFonts w:eastAsia="Arial"/>
          <w:b/>
          <w:color w:val="000000"/>
          <w:sz w:val="24"/>
          <w:szCs w:val="24"/>
        </w:rPr>
        <w:t xml:space="preserve">menor de idade</w:t>
      </w:r>
      <w:r>
        <w:rPr>
          <w:rFonts w:eastAsia="Arial"/>
          <w:color w:val="000000"/>
          <w:sz w:val="24"/>
          <w:szCs w:val="24"/>
        </w:rPr>
        <w:t xml:space="preserve"> salvo em condição de aprendiz (</w:t>
      </w:r>
      <w:r>
        <w:rPr>
          <w:rFonts w:eastAsia="Arial"/>
          <w:b/>
          <w:color w:val="000000"/>
          <w:sz w:val="24"/>
          <w:szCs w:val="24"/>
        </w:rPr>
        <w:t xml:space="preserve">(Anexo III – inciso VII);</w:t>
      </w:r>
      <w:r>
        <w:rPr>
          <w:rFonts w:eastAsia="Arial"/>
          <w:b/>
          <w:color w:val="000000"/>
          <w:sz w:val="24"/>
          <w:szCs w:val="24"/>
        </w:rPr>
      </w:r>
    </w:p>
    <w:p>
      <w:pPr>
        <w:pStyle w:val="1056"/>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de cumprimento aos requisitos de </w:t>
      </w:r>
      <w:r>
        <w:rPr>
          <w:rFonts w:eastAsia="Arial"/>
          <w:b/>
          <w:color w:val="000000"/>
          <w:sz w:val="24"/>
          <w:szCs w:val="24"/>
        </w:rPr>
        <w:t xml:space="preserve">habilitação</w:t>
      </w:r>
      <w:r>
        <w:rPr>
          <w:rFonts w:eastAsia="Arial"/>
          <w:color w:val="000000"/>
          <w:sz w:val="24"/>
          <w:szCs w:val="24"/>
        </w:rPr>
        <w:t xml:space="preserve"> </w:t>
      </w:r>
      <w:r>
        <w:rPr>
          <w:rFonts w:eastAsia="Arial"/>
          <w:b/>
          <w:color w:val="000000"/>
          <w:sz w:val="24"/>
          <w:szCs w:val="24"/>
        </w:rPr>
        <w:t xml:space="preserve">(Anexo III – inciso VIII);</w:t>
      </w:r>
      <w:r>
        <w:rPr>
          <w:rFonts w:eastAsia="Arial"/>
          <w:b/>
          <w:color w:val="000000"/>
          <w:sz w:val="24"/>
          <w:szCs w:val="24"/>
        </w:rPr>
      </w:r>
    </w:p>
    <w:p>
      <w:pPr>
        <w:pStyle w:val="1056"/>
        <w:numPr>
          <w:ilvl w:val="0"/>
          <w:numId w:val="6"/>
        </w:numPr>
        <w:pBdr/>
        <w:spacing w:after="0" w:before="0"/>
        <w:ind w:firstLine="0" w:left="0"/>
        <w:rPr>
          <w:rFonts w:eastAsia="Arial"/>
          <w:b/>
          <w:color w:val="000000"/>
          <w:sz w:val="24"/>
          <w:szCs w:val="24"/>
        </w:rPr>
      </w:pPr>
      <w:r>
        <w:rPr>
          <w:rFonts w:eastAsia="Arial"/>
          <w:b/>
          <w:color w:val="000000"/>
          <w:sz w:val="24"/>
          <w:szCs w:val="24"/>
        </w:rPr>
        <w:t xml:space="preserve">Declaração de ausência de parentesco (Anexo III – inciso IX);</w:t>
      </w:r>
      <w:r>
        <w:rPr>
          <w:rFonts w:eastAsia="Arial"/>
          <w:b/>
          <w:color w:val="000000"/>
          <w:sz w:val="24"/>
          <w:szCs w:val="24"/>
        </w:rPr>
      </w:r>
    </w:p>
    <w:p>
      <w:pPr>
        <w:pStyle w:val="1056"/>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de ausência de </w:t>
      </w:r>
      <w:r>
        <w:rPr>
          <w:rFonts w:eastAsia="Arial"/>
          <w:b/>
          <w:color w:val="000000"/>
          <w:sz w:val="24"/>
          <w:szCs w:val="24"/>
        </w:rPr>
        <w:t xml:space="preserve">trabalho degradante e/ou forçado</w:t>
      </w:r>
      <w:r>
        <w:rPr>
          <w:rFonts w:eastAsia="Arial"/>
          <w:color w:val="000000"/>
          <w:sz w:val="24"/>
          <w:szCs w:val="24"/>
        </w:rPr>
        <w:t xml:space="preserve"> </w:t>
      </w:r>
      <w:r>
        <w:rPr>
          <w:rFonts w:eastAsia="Arial"/>
          <w:b/>
          <w:color w:val="000000"/>
          <w:sz w:val="24"/>
          <w:szCs w:val="24"/>
        </w:rPr>
        <w:t xml:space="preserve">(Anexo III – inciso X);</w:t>
      </w:r>
      <w:r>
        <w:rPr>
          <w:rFonts w:eastAsia="Arial"/>
          <w:b/>
          <w:color w:val="000000"/>
          <w:sz w:val="24"/>
          <w:szCs w:val="24"/>
        </w:rPr>
      </w:r>
    </w:p>
    <w:p>
      <w:pPr>
        <w:pStyle w:val="1056"/>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de </w:t>
      </w:r>
      <w:r>
        <w:rPr>
          <w:rFonts w:eastAsia="Arial"/>
          <w:b/>
          <w:color w:val="000000"/>
          <w:sz w:val="24"/>
          <w:szCs w:val="24"/>
        </w:rPr>
        <w:t xml:space="preserve">proibição de ato discriminatório</w:t>
      </w:r>
      <w:r>
        <w:rPr>
          <w:rFonts w:eastAsia="Arial"/>
          <w:color w:val="000000"/>
          <w:sz w:val="24"/>
          <w:szCs w:val="24"/>
        </w:rPr>
        <w:t xml:space="preserve"> </w:t>
      </w:r>
      <w:r>
        <w:rPr>
          <w:rFonts w:eastAsia="Arial"/>
          <w:b/>
          <w:color w:val="000000"/>
          <w:sz w:val="24"/>
          <w:szCs w:val="24"/>
        </w:rPr>
        <w:t xml:space="preserve">(Anexo III – inciso XI);</w:t>
      </w:r>
      <w:r>
        <w:rPr>
          <w:rFonts w:eastAsia="Arial"/>
          <w:b/>
          <w:color w:val="000000"/>
          <w:sz w:val="24"/>
          <w:szCs w:val="24"/>
        </w:rPr>
      </w:r>
    </w:p>
    <w:p>
      <w:pPr>
        <w:pStyle w:val="1056"/>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que cumpre as exigências de </w:t>
      </w:r>
      <w:r>
        <w:rPr>
          <w:rFonts w:eastAsia="Arial"/>
          <w:b/>
          <w:bCs/>
          <w:color w:val="000000"/>
          <w:sz w:val="24"/>
          <w:szCs w:val="24"/>
        </w:rPr>
        <w:t xml:space="preserve">reserva de cargos para pessoa com deficiência e para reabilitado da Previdência Social</w:t>
      </w:r>
      <w:r>
        <w:rPr>
          <w:rFonts w:eastAsia="Arial"/>
          <w:color w:val="000000"/>
          <w:sz w:val="24"/>
          <w:szCs w:val="24"/>
        </w:rPr>
        <w:t xml:space="preserve">, previstas em lei e em outras normas específicas </w:t>
      </w:r>
      <w:r>
        <w:rPr>
          <w:rFonts w:eastAsia="Arial"/>
          <w:b/>
          <w:color w:val="000000"/>
          <w:sz w:val="24"/>
          <w:szCs w:val="24"/>
        </w:rPr>
        <w:t xml:space="preserve">(Anexo III – inciso XII);</w:t>
      </w:r>
      <w:r>
        <w:rPr>
          <w:rFonts w:eastAsia="Arial"/>
          <w:b/>
          <w:color w:val="000000"/>
          <w:sz w:val="24"/>
          <w:szCs w:val="24"/>
        </w:rPr>
      </w:r>
    </w:p>
    <w:p>
      <w:pPr>
        <w:pStyle w:val="1056"/>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de </w:t>
      </w:r>
      <w:r>
        <w:rPr>
          <w:rFonts w:eastAsia="Arial"/>
          <w:b/>
          <w:color w:val="000000"/>
          <w:sz w:val="24"/>
          <w:szCs w:val="24"/>
        </w:rPr>
        <w:t xml:space="preserve">autenticidade de documentação</w:t>
      </w:r>
      <w:r>
        <w:rPr>
          <w:rFonts w:eastAsia="Arial"/>
          <w:color w:val="000000"/>
          <w:sz w:val="24"/>
          <w:szCs w:val="24"/>
        </w:rPr>
        <w:t xml:space="preserve"> </w:t>
      </w:r>
      <w:r>
        <w:rPr>
          <w:rFonts w:eastAsia="Arial"/>
          <w:b/>
          <w:color w:val="000000"/>
          <w:sz w:val="24"/>
          <w:szCs w:val="24"/>
        </w:rPr>
        <w:t xml:space="preserve">(Anexo III – inciso XIII)</w:t>
      </w:r>
      <w:r>
        <w:rPr>
          <w:rFonts w:eastAsia="Arial"/>
          <w:color w:val="000000"/>
          <w:sz w:val="24"/>
          <w:szCs w:val="24"/>
        </w:rPr>
        <w:t xml:space="preserve">.</w:t>
      </w:r>
      <w:r>
        <w:rPr>
          <w:rFonts w:eastAsia="Arial"/>
          <w:b/>
          <w:color w:val="000000"/>
          <w:sz w:val="24"/>
          <w:szCs w:val="24"/>
        </w:rPr>
      </w:r>
    </w:p>
    <w:p>
      <w:pPr>
        <w:pStyle w:val="1056"/>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w:t>
      </w:r>
      <w:r>
        <w:rPr>
          <w:rFonts w:eastAsia="Arial"/>
          <w:b/>
          <w:color w:val="000000"/>
          <w:sz w:val="24"/>
          <w:szCs w:val="24"/>
        </w:rPr>
        <w:t xml:space="preserve"> </w:t>
      </w:r>
      <w:r>
        <w:rPr>
          <w:rFonts w:eastAsia="Arial"/>
          <w:color w:val="000000"/>
          <w:sz w:val="24"/>
          <w:szCs w:val="24"/>
        </w:rPr>
        <w:t xml:space="preserve">de</w:t>
      </w:r>
      <w:r>
        <w:rPr>
          <w:rFonts w:eastAsia="Arial"/>
          <w:b/>
          <w:color w:val="000000"/>
          <w:sz w:val="24"/>
          <w:szCs w:val="24"/>
        </w:rPr>
        <w:t xml:space="preserve"> Atendimento aos Critérios de Qualidade Ambiental e Sustentabilidade Socioambiental (Anexo III – inciso XIV).</w:t>
      </w:r>
      <w:r>
        <w:rPr>
          <w:rFonts w:eastAsia="Arial"/>
          <w:b/>
          <w:color w:val="000000"/>
          <w:sz w:val="24"/>
          <w:szCs w:val="24"/>
        </w:rPr>
      </w:r>
    </w:p>
    <w:p>
      <w:pPr>
        <w:pStyle w:val="1056"/>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de ciência de apresentação de</w:t>
      </w:r>
      <w:r>
        <w:rPr>
          <w:rFonts w:eastAsia="Arial"/>
          <w:b/>
          <w:color w:val="000000"/>
          <w:sz w:val="24"/>
          <w:szCs w:val="24"/>
        </w:rPr>
        <w:t xml:space="preserve"> declarações e certidões pertinentes dos órgãos competentes (Anexo III – inciso XV);</w:t>
      </w:r>
      <w:r>
        <w:rPr>
          <w:rFonts w:eastAsia="Arial"/>
          <w:b/>
          <w:color w:val="000000"/>
          <w:sz w:val="24"/>
          <w:szCs w:val="24"/>
        </w:rPr>
      </w:r>
    </w:p>
    <w:p>
      <w:pPr>
        <w:pStyle w:val="1056"/>
        <w:numPr>
          <w:ilvl w:val="0"/>
          <w:numId w:val="6"/>
        </w:numPr>
        <w:pBdr/>
        <w:spacing w:after="0" w:before="0"/>
        <w:ind w:firstLine="0" w:left="0"/>
        <w:rPr>
          <w:rFonts w:eastAsia="Arial"/>
          <w:b/>
          <w:color w:val="000000"/>
          <w:sz w:val="24"/>
          <w:szCs w:val="24"/>
          <w:u w:val="single"/>
        </w:rPr>
      </w:pPr>
      <w:r>
        <w:rPr>
          <w:rFonts w:eastAsia="Arial"/>
          <w:color w:val="000000"/>
          <w:sz w:val="24"/>
          <w:szCs w:val="24"/>
        </w:rPr>
        <w:t xml:space="preserve">Declaração de ciência da</w:t>
      </w:r>
      <w:r>
        <w:rPr>
          <w:rFonts w:eastAsia="Arial"/>
          <w:b/>
          <w:color w:val="000000"/>
          <w:sz w:val="24"/>
          <w:szCs w:val="24"/>
        </w:rPr>
        <w:t xml:space="preserve"> </w:t>
      </w:r>
      <w:r>
        <w:rPr>
          <w:rFonts w:eastAsia="Arial"/>
          <w:color w:val="000000"/>
          <w:sz w:val="24"/>
          <w:szCs w:val="24"/>
        </w:rPr>
        <w:t xml:space="preserve">obrigatoriedade da apresentação do registro no </w:t>
      </w:r>
      <w:r>
        <w:rPr>
          <w:rFonts w:eastAsia="Arial"/>
          <w:b/>
          <w:color w:val="000000"/>
          <w:sz w:val="24"/>
          <w:szCs w:val="24"/>
        </w:rPr>
        <w:t xml:space="preserve">Cadastro Técnico Federal de Atividades Potencialmente Poluidoras ou Utilizadoras de Recursos Ambientais (Anexo III – inciso XVI);</w:t>
      </w:r>
      <w:r>
        <w:rPr>
          <w:rFonts w:eastAsia="Arial"/>
          <w:b/>
          <w:color w:val="000000"/>
          <w:sz w:val="24"/>
          <w:szCs w:val="24"/>
          <w:u w:val="single"/>
        </w:rPr>
      </w:r>
    </w:p>
    <w:p>
      <w:pPr>
        <w:pStyle w:val="1056"/>
        <w:numPr>
          <w:ilvl w:val="0"/>
          <w:numId w:val="6"/>
        </w:numPr>
        <w:pBdr/>
        <w:spacing w:after="0" w:before="0"/>
        <w:ind w:firstLine="0" w:left="0"/>
        <w:rPr>
          <w:rFonts w:eastAsia="Arial"/>
          <w:b/>
          <w:color w:val="000000"/>
          <w:sz w:val="24"/>
          <w:szCs w:val="24"/>
          <w:u w:val="single"/>
        </w:rPr>
      </w:pPr>
      <w:r>
        <w:rPr>
          <w:rFonts w:eastAsia="Arial"/>
          <w:color w:val="000000"/>
          <w:sz w:val="24"/>
          <w:szCs w:val="24"/>
        </w:rPr>
        <w:t xml:space="preserve">Declaração de que nos </w:t>
      </w:r>
      <w:r>
        <w:rPr>
          <w:rFonts w:eastAsia="Arial"/>
          <w:b/>
          <w:bCs/>
          <w:color w:val="000000"/>
          <w:sz w:val="24"/>
          <w:szCs w:val="24"/>
        </w:rPr>
        <w:t xml:space="preserve">5 (cinco) anos anteriores à divulgação do edital, não foi condenada judicialmente</w:t>
      </w:r>
      <w:r>
        <w:rPr>
          <w:rFonts w:eastAsia="Arial"/>
          <w:color w:val="000000"/>
          <w:sz w:val="24"/>
          <w:szCs w:val="24"/>
        </w:rPr>
        <w:t xml:space="preserve">, com trânsito em julgado, por exploração de trabalho infantil, por submissão de trabalhadores a condições análogas às de escravo ou por contratação de adolescentes nos casos vedados pela legislação trabalhista</w:t>
      </w:r>
      <w:r>
        <w:rPr>
          <w:rFonts w:eastAsia="Arial"/>
          <w:b/>
          <w:color w:val="000000"/>
          <w:sz w:val="24"/>
          <w:szCs w:val="24"/>
        </w:rPr>
        <w:t xml:space="preserve"> (Anexo III – inciso XVII);</w:t>
      </w:r>
      <w:r>
        <w:rPr>
          <w:rFonts w:eastAsia="Arial"/>
          <w:b/>
          <w:color w:val="000000"/>
          <w:sz w:val="24"/>
          <w:szCs w:val="24"/>
          <w:u w:val="single"/>
        </w:rPr>
      </w:r>
    </w:p>
    <w:p>
      <w:pPr>
        <w:pStyle w:val="1056"/>
        <w:numPr>
          <w:ilvl w:val="0"/>
          <w:numId w:val="6"/>
        </w:numPr>
        <w:pBdr/>
        <w:spacing w:after="0" w:before="0"/>
        <w:ind w:firstLine="0" w:left="0"/>
        <w:rPr>
          <w:rFonts w:eastAsia="Arial"/>
          <w:b/>
          <w:color w:val="000000"/>
          <w:sz w:val="24"/>
          <w:szCs w:val="24"/>
        </w:rPr>
      </w:pPr>
      <w:r>
        <w:rPr>
          <w:rFonts w:eastAsia="Arial"/>
          <w:b/>
          <w:color w:val="000000"/>
          <w:sz w:val="24"/>
          <w:szCs w:val="24"/>
          <w:u w:val="single"/>
        </w:rPr>
        <w:t xml:space="preserve">Declaração de que se</w:t>
      </w:r>
      <w:r>
        <w:rPr>
          <w:rFonts w:eastAsia="Arial"/>
          <w:color w:val="000000"/>
          <w:sz w:val="24"/>
          <w:szCs w:val="24"/>
          <w:u w:val="single"/>
        </w:rPr>
        <w:t xml:space="preserve"> </w:t>
      </w:r>
      <w:r>
        <w:rPr>
          <w:rFonts w:eastAsia="Arial"/>
          <w:b/>
          <w:color w:val="000000"/>
          <w:sz w:val="24"/>
          <w:szCs w:val="24"/>
          <w:u w:val="single"/>
        </w:rPr>
        <w:t xml:space="preserve">enquadra na situação de microempresa, empresa de pequeno porte ou cooperativa, nos termos da lei complementar nº 123/06, alterada pela lei complementar nº 147/14</w:t>
      </w:r>
      <w:r>
        <w:rPr>
          <w:rFonts w:eastAsia="Arial"/>
          <w:color w:val="000000"/>
          <w:sz w:val="24"/>
          <w:szCs w:val="24"/>
        </w:rPr>
        <w:t xml:space="preserve">, sob as penas do artigo 299 do código penal bem assim que inexistem fatos supervenientes que conduzam ao seu desenquadramento desta situação.</w:t>
      </w:r>
      <w:r>
        <w:rPr>
          <w:rFonts w:eastAsia="Arial"/>
          <w:b/>
          <w:color w:val="000000"/>
          <w:sz w:val="24"/>
          <w:szCs w:val="24"/>
        </w:rPr>
        <w:t xml:space="preserve"> (Anexo III – inciso XVIII)</w:t>
      </w:r>
      <w:r>
        <w:rPr>
          <w:rFonts w:eastAsia="Arial"/>
          <w:color w:val="000000"/>
          <w:sz w:val="24"/>
          <w:szCs w:val="24"/>
        </w:rPr>
        <w:t xml:space="preserve"> </w:t>
      </w:r>
      <w:r>
        <w:rPr>
          <w:rFonts w:eastAsia="Arial"/>
          <w:b/>
          <w:color w:val="000000"/>
          <w:sz w:val="24"/>
          <w:szCs w:val="24"/>
        </w:rPr>
      </w:r>
    </w:p>
    <w:p>
      <w:pPr>
        <w:pStyle w:val="1056"/>
        <w:pBdr/>
        <w:spacing w:after="0" w:before="0"/>
        <w:ind/>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p>
    <w:p>
      <w:pPr>
        <w:pStyle w:val="1056"/>
        <w:pBdr/>
        <w:tabs>
          <w:tab w:val="clear" w:leader="none" w:pos="720"/>
          <w:tab w:val="left" w:leader="none" w:pos="1418"/>
        </w:tabs>
        <w:spacing w:after="480" w:before="120"/>
        <w:ind/>
        <w:rPr>
          <w:rFonts w:eastAsia="Arial"/>
          <w:b/>
          <w:color w:val="000000"/>
          <w:sz w:val="24"/>
          <w:szCs w:val="24"/>
          <w:u w:val="single"/>
        </w:rPr>
      </w:pPr>
      <w:r>
        <w:rPr>
          <w:rFonts w:eastAsia="Arial"/>
          <w:b/>
          <w:color w:val="000000"/>
          <w:sz w:val="24"/>
          <w:szCs w:val="24"/>
        </w:rPr>
        <w:t xml:space="preserve">Obs¹: </w:t>
      </w:r>
      <w:r>
        <w:rPr>
          <w:rFonts w:eastAsia="Arial"/>
          <w:color w:val="000000"/>
          <w:sz w:val="24"/>
          <w:szCs w:val="24"/>
        </w:rPr>
        <w:t xml:space="preserve">A licitante poderá, ainda, suprir ou sanear eventuais omissões ou falhas, relativas ao cumprimento dos requisitos e condições de habilitação estabelecidos no edital, mediante a apresentação de documentos, </w:t>
      </w:r>
      <w:r>
        <w:rPr>
          <w:rFonts w:eastAsia="Arial"/>
          <w:color w:val="000000"/>
          <w:sz w:val="24"/>
          <w:szCs w:val="24"/>
          <w:u w:val="single"/>
        </w:rPr>
        <w:t xml:space="preserve">desde que os envie no curso da própria sessão pública do pregão e até a decisão sobre a habilitação</w:t>
      </w:r>
      <w:r>
        <w:rPr>
          <w:rFonts w:eastAsia="Arial"/>
          <w:color w:val="000000"/>
          <w:sz w:val="24"/>
          <w:szCs w:val="24"/>
        </w:rPr>
        <w:t xml:space="preserve">, por meio do e-mail: licitacao@riodasflores.rj.gov.br.</w:t>
      </w:r>
      <w:r>
        <w:rPr>
          <w:rFonts w:eastAsia="Arial"/>
          <w:b/>
          <w:color w:val="000000"/>
          <w:sz w:val="24"/>
          <w:szCs w:val="24"/>
          <w:u w:val="single"/>
        </w:rPr>
      </w:r>
    </w:p>
    <w:p>
      <w:pPr>
        <w:pStyle w:val="1056"/>
        <w:pBdr/>
        <w:spacing w:after="480" w:before="120"/>
        <w:ind/>
        <w:rPr>
          <w:rFonts w:eastAsia="Arial"/>
          <w:b/>
          <w:color w:val="000000"/>
          <w:sz w:val="24"/>
          <w:szCs w:val="24"/>
          <w:u w:val="single"/>
        </w:rPr>
      </w:pPr>
      <w:r>
        <w:rPr>
          <w:rFonts w:eastAsia="Arial"/>
          <w:b/>
          <w:color w:val="000000"/>
          <w:sz w:val="24"/>
          <w:szCs w:val="24"/>
        </w:rPr>
        <w:t xml:space="preserve">Obs²: A apresentação da Declaração Unificada (Anexo III) é obrigatória.</w:t>
      </w:r>
      <w:r>
        <w:rPr>
          <w:rFonts w:eastAsia="Arial"/>
          <w:b/>
          <w:color w:val="000000"/>
          <w:sz w:val="24"/>
          <w:szCs w:val="24"/>
          <w:u w:val="single"/>
        </w:rPr>
      </w:r>
    </w:p>
    <w:p>
      <w:pPr>
        <w:pStyle w:val="1056"/>
        <w:numPr>
          <w:ilvl w:val="0"/>
          <w:numId w:val="18"/>
        </w:numPr>
        <w:pBdr/>
        <w:tabs>
          <w:tab w:val="left" w:leader="none" w:pos="284"/>
          <w:tab w:val="clear" w:leader="none" w:pos="720"/>
        </w:tabs>
        <w:spacing w:after="480" w:before="120"/>
        <w:ind w:firstLine="0" w:left="0"/>
        <w:rPr>
          <w:rFonts w:eastAsia="Arial"/>
          <w:b/>
          <w:color w:val="000000"/>
          <w:sz w:val="24"/>
          <w:szCs w:val="24"/>
          <w:u w:val="single"/>
        </w:rPr>
      </w:pPr>
      <w:r/>
      <w:bookmarkStart w:id="49" w:name="bookmark=id.2lwamvv"/>
      <w:r/>
      <w:bookmarkStart w:id="50" w:name="_heading=h.111kx3o"/>
      <w:r/>
      <w:bookmarkEnd w:id="49"/>
      <w:r/>
      <w:bookmarkEnd w:id="50"/>
      <w:r>
        <w:rPr>
          <w:rFonts w:eastAsia="Arial"/>
          <w:b/>
          <w:color w:val="000000"/>
          <w:sz w:val="24"/>
          <w:szCs w:val="24"/>
          <w:u w:val="single"/>
        </w:rPr>
        <w:t xml:space="preserve">DA ATA DE REGISTRO DE PREÇOS:</w:t>
      </w:r>
      <w:r>
        <w:rPr>
          <w:rFonts w:eastAsia="Arial"/>
          <w:b/>
          <w:color w:val="000000"/>
          <w:sz w:val="24"/>
          <w:szCs w:val="24"/>
          <w:u w:val="single"/>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Homologado o resultado da licitação, o licitante mais bem classificado terá o </w:t>
      </w:r>
      <w:r>
        <w:rPr>
          <w:rFonts w:eastAsia="Arial"/>
          <w:b/>
          <w:color w:val="000000"/>
          <w:sz w:val="24"/>
          <w:szCs w:val="24"/>
        </w:rPr>
        <w:t xml:space="preserve">prazo de 02 (dois) dias úteis</w:t>
      </w:r>
      <w:r>
        <w:rPr>
          <w:rFonts w:eastAsia="Arial"/>
          <w:color w:val="000000"/>
          <w:sz w:val="24"/>
          <w:szCs w:val="24"/>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prazo de convocação poderá ser prorrogado uma vez, por igual período, mediante solicitação do licitante mais bem classificado ou do fornecedor convocado, desde que:</w:t>
      </w:r>
      <w:r>
        <w:rPr>
          <w:rFonts w:eastAsia="Arial"/>
          <w:color w:val="000000"/>
          <w:sz w:val="24"/>
          <w:szCs w:val="24"/>
        </w:rPr>
      </w:r>
    </w:p>
    <w:p>
      <w:pPr>
        <w:pStyle w:val="1056"/>
        <w:pBdr/>
        <w:spacing w:line="276" w:lineRule="auto"/>
        <w:ind/>
        <w:rPr>
          <w:rFonts w:eastAsia="Arial"/>
          <w:color w:val="000000"/>
          <w:sz w:val="24"/>
          <w:szCs w:val="24"/>
        </w:rPr>
      </w:pPr>
      <w:r>
        <w:rPr>
          <w:rFonts w:eastAsia="Arial"/>
          <w:color w:val="000000"/>
          <w:sz w:val="24"/>
          <w:szCs w:val="24"/>
        </w:rPr>
        <w:t xml:space="preserve">(a) a solicitação seja devidamente justificada e apresentada dentro do prazo; e</w:t>
      </w:r>
      <w:r>
        <w:rPr>
          <w:rFonts w:eastAsia="Arial"/>
          <w:color w:val="000000"/>
          <w:sz w:val="24"/>
          <w:szCs w:val="24"/>
        </w:rPr>
      </w:r>
    </w:p>
    <w:p>
      <w:pPr>
        <w:pStyle w:val="1056"/>
        <w:pBdr/>
        <w:spacing w:line="276" w:lineRule="auto"/>
        <w:ind/>
        <w:rPr>
          <w:rFonts w:eastAsia="Arial"/>
          <w:color w:val="000000"/>
          <w:sz w:val="24"/>
          <w:szCs w:val="24"/>
        </w:rPr>
      </w:pPr>
      <w:r>
        <w:rPr>
          <w:rFonts w:eastAsia="Arial"/>
          <w:color w:val="000000"/>
          <w:sz w:val="24"/>
          <w:szCs w:val="24"/>
        </w:rPr>
        <w:t xml:space="preserve">(b) a justificativa apresentada seja aceita pela Administração.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ata de registro de preços será assinada por meio de assinatura digital e disponibilizada no sistema de registro de preços.</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Serão formalizadas tantas</w:t>
      </w:r>
      <w:r>
        <w:rPr>
          <w:rFonts w:eastAsia="Arial"/>
          <w:color w:val="000000"/>
          <w:sz w:val="24"/>
          <w:szCs w:val="24"/>
        </w:rPr>
        <w:t xml:space="preserve"> Atas de Registro de Preços quantas forem necessárias para o registro de todos os itens constantes no Termo de Referência, com a indicação do licitante vencedor, a descrição do(s) item(ns), as respectivas quantidades, preços registrados e demais condições.</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preço registrado, com a indicação dos fornecedores, será divulgado no PNCP e disponibilizado durante a vigência da ata de registro de preços.</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w:t>
      </w:r>
      <w:r>
        <w:rPr>
          <w:rFonts w:eastAsia="Arial"/>
          <w:color w:val="000000"/>
          <w:sz w:val="24"/>
          <w:szCs w:val="24"/>
        </w:rPr>
        <w:t xml:space="preserve">existência de preços registrados implicará compromisso de fornecimento nas condições estabelecidas, mas não obrigará a Administração a contratar, facultada a realização de licitação específica para a aquisição pretendida, desde que devidamente justificada.</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Na hipótese de o convocado não assinar a ata de reg</w:t>
      </w:r>
      <w:r>
        <w:rPr>
          <w:rFonts w:eastAsia="Arial"/>
          <w:color w:val="000000"/>
          <w:sz w:val="24"/>
          <w:szCs w:val="24"/>
        </w:rPr>
        <w:t xml:space="preserve">istro de preços no prazo e nas condições estabelecidas, fica facultado à Administração convocar os licitantes remanescentes do cadastro de reserva, na ordem de classificação, para fazê-lo em igual prazo e nas condições propostas pelo primeiro classificado.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prazo de vigência da ata de registro de preços será de </w:t>
      </w:r>
      <w:r>
        <w:rPr>
          <w:rFonts w:eastAsia="Arial"/>
          <w:b/>
          <w:color w:val="000000"/>
          <w:sz w:val="24"/>
          <w:szCs w:val="24"/>
        </w:rPr>
        <w:t xml:space="preserve">01 (um) ano</w:t>
      </w:r>
      <w:r>
        <w:rPr>
          <w:rFonts w:eastAsia="Arial"/>
          <w:color w:val="000000"/>
          <w:sz w:val="24"/>
          <w:szCs w:val="24"/>
        </w:rPr>
        <w:t xml:space="preserve">, contado do primeiro dia útil subsequente à data de divulgação no PNCP, e poderá ser prorrogado por igual período, desde que comprovado que o preço é vantajoso.</w:t>
      </w:r>
      <w:r>
        <w:rPr>
          <w:rFonts w:eastAsia="Arial"/>
          <w:color w:val="000000"/>
          <w:sz w:val="24"/>
          <w:szCs w:val="24"/>
        </w:rPr>
      </w:r>
    </w:p>
    <w:p>
      <w:pPr>
        <w:pStyle w:val="1056"/>
        <w:numPr>
          <w:ilvl w:val="2"/>
          <w:numId w:val="18"/>
        </w:numPr>
        <w:pBdr/>
        <w:tabs>
          <w:tab w:val="clear" w:leader="none" w:pos="720"/>
          <w:tab w:val="left" w:leader="none" w:pos="851"/>
          <w:tab w:val="left" w:leader="none" w:pos="1560"/>
        </w:tabs>
        <w:spacing w:line="276" w:lineRule="auto"/>
        <w:ind w:firstLine="0" w:left="0"/>
        <w:rPr>
          <w:rFonts w:eastAsia="Arial"/>
          <w:color w:val="000000"/>
          <w:sz w:val="24"/>
          <w:szCs w:val="24"/>
        </w:rPr>
      </w:pPr>
      <w:r>
        <w:rPr>
          <w:rFonts w:eastAsia="Arial"/>
          <w:color w:val="000000"/>
          <w:sz w:val="24"/>
          <w:szCs w:val="24"/>
        </w:rPr>
        <w:t xml:space="preserve">O contrato decorrente da ata de registro de preços terá sua vigência estabelecida na forma prevista no art. 36, Decreto Federal nº 11.462/2023 c/c art. 105, Lei Federal nº 14.133/2021.</w:t>
      </w:r>
      <w:r>
        <w:rPr>
          <w:rFonts w:eastAsia="Arial"/>
          <w:color w:val="000000"/>
          <w:sz w:val="24"/>
          <w:szCs w:val="24"/>
        </w:rPr>
      </w:r>
    </w:p>
    <w:p>
      <w:pPr>
        <w:pStyle w:val="1056"/>
        <w:pBdr/>
        <w:tabs>
          <w:tab w:val="clear" w:leader="none" w:pos="720"/>
          <w:tab w:val="left" w:leader="none" w:pos="851"/>
          <w:tab w:val="left" w:leader="none" w:pos="1560"/>
        </w:tabs>
        <w:spacing w:line="276" w:lineRule="auto"/>
        <w:ind/>
        <w:rPr>
          <w:rFonts w:eastAsia="Arial"/>
          <w:color w:val="000000"/>
          <w:sz w:val="24"/>
          <w:szCs w:val="24"/>
        </w:rPr>
      </w:pPr>
      <w:r>
        <w:rPr>
          <w:rFonts w:eastAsia="Arial"/>
          <w:color w:val="000000"/>
          <w:sz w:val="24"/>
          <w:szCs w:val="24"/>
        </w:rPr>
      </w:r>
      <w:r>
        <w:rPr>
          <w:rFonts w:eastAsia="Arial"/>
          <w:color w:val="000000"/>
          <w:sz w:val="24"/>
          <w:szCs w:val="24"/>
        </w:rPr>
      </w:r>
    </w:p>
    <w:p>
      <w:pPr>
        <w:pStyle w:val="1056"/>
        <w:numPr>
          <w:ilvl w:val="0"/>
          <w:numId w:val="18"/>
        </w:numPr>
        <w:pBdr/>
        <w:tabs>
          <w:tab w:val="left" w:leader="none" w:pos="567"/>
          <w:tab w:val="clear" w:leader="none" w:pos="720"/>
        </w:tabs>
        <w:spacing w:after="480" w:before="120"/>
        <w:ind w:firstLine="0" w:left="0"/>
        <w:rPr>
          <w:rFonts w:eastAsia="Arial"/>
          <w:b/>
          <w:color w:val="000000"/>
          <w:sz w:val="24"/>
          <w:szCs w:val="24"/>
          <w:u w:val="single"/>
        </w:rPr>
      </w:pPr>
      <w:r/>
      <w:bookmarkStart w:id="51" w:name="_heading=h.3l18frh"/>
      <w:r/>
      <w:bookmarkEnd w:id="51"/>
      <w:r>
        <w:rPr>
          <w:rFonts w:eastAsia="Arial"/>
          <w:b/>
          <w:color w:val="000000"/>
          <w:sz w:val="24"/>
          <w:szCs w:val="24"/>
          <w:u w:val="single"/>
        </w:rPr>
        <w:t xml:space="preserve">DA FORMAÇÃO DO CADASTRO DE RESERVA:</w:t>
      </w:r>
      <w:r>
        <w:rPr>
          <w:rFonts w:eastAsia="Arial"/>
          <w:b/>
          <w:color w:val="000000"/>
          <w:sz w:val="24"/>
          <w:szCs w:val="24"/>
          <w:u w:val="single"/>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Após a homologação da licitação, será incluído na ata, na forma de anexo, o registro:</w:t>
      </w:r>
      <w:r>
        <w:rPr>
          <w:rFonts w:eastAsia="Arial"/>
          <w:color w:val="000000"/>
          <w:sz w:val="24"/>
          <w:szCs w:val="24"/>
        </w:rPr>
      </w:r>
    </w:p>
    <w:p>
      <w:pPr>
        <w:pStyle w:val="1056"/>
        <w:numPr>
          <w:ilvl w:val="2"/>
          <w:numId w:val="18"/>
        </w:numPr>
        <w:pBdr/>
        <w:tabs>
          <w:tab w:val="clear" w:leader="none" w:pos="720"/>
          <w:tab w:val="left" w:leader="none" w:pos="851"/>
        </w:tabs>
        <w:spacing w:line="276" w:lineRule="auto"/>
        <w:ind w:firstLine="0" w:left="0"/>
        <w:rPr>
          <w:rFonts w:eastAsia="Arial"/>
          <w:color w:val="000000"/>
          <w:sz w:val="24"/>
          <w:szCs w:val="24"/>
        </w:rPr>
      </w:pPr>
      <w:r/>
      <w:bookmarkStart w:id="52" w:name="_heading=h.206ipza"/>
      <w:r/>
      <w:bookmarkEnd w:id="52"/>
      <w:r>
        <w:rPr>
          <w:rFonts w:eastAsia="Arial"/>
          <w:color w:val="000000"/>
          <w:sz w:val="24"/>
          <w:szCs w:val="24"/>
        </w:rPr>
        <w:t xml:space="preserve">dos licitantes que aceitarem cotar o objeto com preço igual ao do adjudicatário, observada a classificação na licitação; e </w:t>
      </w:r>
      <w:r>
        <w:rPr>
          <w:rFonts w:eastAsia="Arial"/>
          <w:color w:val="000000"/>
          <w:sz w:val="24"/>
          <w:szCs w:val="24"/>
        </w:rPr>
      </w:r>
    </w:p>
    <w:p>
      <w:pPr>
        <w:pStyle w:val="1056"/>
        <w:numPr>
          <w:ilvl w:val="2"/>
          <w:numId w:val="18"/>
        </w:numPr>
        <w:pBdr/>
        <w:tabs>
          <w:tab w:val="clear" w:leader="none" w:pos="720"/>
          <w:tab w:val="left" w:leader="none" w:pos="851"/>
          <w:tab w:val="left" w:leader="none" w:pos="1560"/>
        </w:tabs>
        <w:spacing w:line="276" w:lineRule="auto"/>
        <w:ind w:firstLine="0" w:left="0"/>
        <w:rPr>
          <w:rFonts w:eastAsia="Arial"/>
          <w:color w:val="000000"/>
          <w:sz w:val="24"/>
          <w:szCs w:val="24"/>
        </w:rPr>
      </w:pPr>
      <w:r>
        <w:rPr>
          <w:rFonts w:eastAsia="Arial"/>
          <w:color w:val="000000"/>
          <w:sz w:val="24"/>
          <w:szCs w:val="24"/>
        </w:rPr>
        <w:t xml:space="preserve">dos licitantes que mantiverem sua proposta original</w:t>
      </w:r>
      <w:r>
        <w:rPr>
          <w:rFonts w:eastAsia="Arial"/>
          <w:color w:val="000000"/>
          <w:sz w:val="24"/>
          <w:szCs w:val="24"/>
        </w:rPr>
      </w:r>
    </w:p>
    <w:p>
      <w:pPr>
        <w:pStyle w:val="1056"/>
        <w:numPr>
          <w:ilvl w:val="1"/>
          <w:numId w:val="18"/>
        </w:numPr>
        <w:pBdr/>
        <w:tabs>
          <w:tab w:val="clear" w:leader="none" w:pos="720"/>
          <w:tab w:val="left" w:leader="none" w:pos="851"/>
          <w:tab w:val="left" w:leader="none" w:pos="993"/>
          <w:tab w:val="left" w:leader="none" w:pos="1276"/>
          <w:tab w:val="left" w:leader="none" w:pos="1418"/>
          <w:tab w:val="left" w:leader="none" w:pos="1985"/>
        </w:tabs>
        <w:spacing w:line="276" w:lineRule="auto"/>
        <w:ind w:firstLine="0" w:left="0"/>
        <w:rPr>
          <w:rFonts w:eastAsia="Arial"/>
          <w:i/>
          <w:color w:val="000000"/>
          <w:sz w:val="24"/>
          <w:szCs w:val="24"/>
        </w:rPr>
      </w:pPr>
      <w:r>
        <w:rPr>
          <w:rFonts w:eastAsia="Arial"/>
          <w:color w:val="000000"/>
          <w:sz w:val="24"/>
          <w:szCs w:val="24"/>
        </w:rPr>
        <w:t xml:space="preserve">Será respeitada, nas contratações, a ordem de classificação dos licitantes ou fornecedores registrados na ata.</w:t>
      </w:r>
      <w:r>
        <w:rPr>
          <w:rFonts w:eastAsia="Arial"/>
          <w:i/>
          <w:color w:val="000000"/>
          <w:sz w:val="24"/>
          <w:szCs w:val="24"/>
        </w:rPr>
      </w:r>
    </w:p>
    <w:p>
      <w:pPr>
        <w:pStyle w:val="1056"/>
        <w:numPr>
          <w:ilvl w:val="2"/>
          <w:numId w:val="18"/>
        </w:numPr>
        <w:pBdr/>
        <w:tabs>
          <w:tab w:val="clear" w:leader="none" w:pos="720"/>
          <w:tab w:val="left" w:leader="none" w:pos="851"/>
          <w:tab w:val="left" w:leader="none" w:pos="1560"/>
        </w:tabs>
        <w:spacing w:line="276" w:lineRule="auto"/>
        <w:ind w:firstLine="0" w:left="0"/>
        <w:rPr>
          <w:rFonts w:eastAsia="Arial"/>
          <w:color w:val="000000"/>
          <w:sz w:val="24"/>
          <w:szCs w:val="24"/>
        </w:rPr>
      </w:pPr>
      <w:r>
        <w:rPr>
          <w:rFonts w:eastAsia="Arial"/>
          <w:color w:val="000000"/>
          <w:sz w:val="24"/>
          <w:szCs w:val="24"/>
        </w:rPr>
        <w:t xml:space="preserve">A apresentação de novas propostas na forma deste item não prejudicará o resultado do certame em relação ao licitante mais bem classificado.</w:t>
      </w:r>
      <w:r>
        <w:rPr>
          <w:rFonts w:eastAsia="Arial"/>
          <w:color w:val="000000"/>
          <w:sz w:val="24"/>
          <w:szCs w:val="24"/>
        </w:rPr>
      </w:r>
    </w:p>
    <w:p>
      <w:pPr>
        <w:pStyle w:val="1056"/>
        <w:numPr>
          <w:ilvl w:val="2"/>
          <w:numId w:val="18"/>
        </w:numPr>
        <w:pBdr/>
        <w:tabs>
          <w:tab w:val="clear" w:leader="none" w:pos="720"/>
          <w:tab w:val="left" w:leader="none" w:pos="851"/>
        </w:tabs>
        <w:spacing w:line="276" w:lineRule="auto"/>
        <w:ind w:firstLine="0" w:left="0"/>
        <w:rPr>
          <w:rFonts w:eastAsia="Arial"/>
          <w:color w:val="000000"/>
          <w:sz w:val="24"/>
          <w:szCs w:val="24"/>
        </w:rPr>
      </w:pPr>
      <w:r>
        <w:rPr>
          <w:rFonts w:eastAsia="Arial"/>
          <w:color w:val="000000"/>
          <w:sz w:val="24"/>
          <w:szCs w:val="24"/>
        </w:rPr>
        <w:t xml:space="preserve">Para fins da ordem de classificação, os licitantes ou fornecedores que aceitarem cotar o objeto com preço igual ao do adjudicatário antecederão aqueles que mantiverem sua proposta original.</w:t>
      </w:r>
      <w:r>
        <w:rPr>
          <w:rFonts w:eastAsia="Arial"/>
          <w:color w:val="000000"/>
          <w:sz w:val="24"/>
          <w:szCs w:val="24"/>
        </w:rPr>
      </w:r>
    </w:p>
    <w:p>
      <w:pPr>
        <w:pStyle w:val="1056"/>
        <w:numPr>
          <w:ilvl w:val="1"/>
          <w:numId w:val="18"/>
        </w:numPr>
        <w:pBdr/>
        <w:tabs>
          <w:tab w:val="left" w:leader="none" w:pos="0"/>
          <w:tab w:val="clear" w:leader="none" w:pos="720"/>
        </w:tabs>
        <w:spacing w:line="276" w:lineRule="auto"/>
        <w:ind w:firstLine="0" w:left="0"/>
        <w:rPr>
          <w:rFonts w:eastAsia="Arial"/>
          <w:color w:val="000000"/>
          <w:sz w:val="24"/>
          <w:szCs w:val="24"/>
        </w:rPr>
      </w:pPr>
      <w:r>
        <w:rPr>
          <w:rFonts w:eastAsia="Arial"/>
          <w:color w:val="000000"/>
          <w:sz w:val="24"/>
          <w:szCs w:val="24"/>
        </w:rPr>
        <w:t xml:space="preserve"> </w:t>
      </w:r>
      <w:r>
        <w:rPr>
          <w:rFonts w:eastAsia="Arial"/>
          <w:color w:val="000000"/>
          <w:sz w:val="24"/>
          <w:szCs w:val="24"/>
        </w:rPr>
        <w:t xml:space="preserve">A habilitação dos licitantes que comporão o cadastro de reserva será efetuada quando houver necessidade de contratação dos licitantes remanescentes, nas seguintes hipóteses:</w:t>
      </w:r>
      <w:r>
        <w:rPr>
          <w:rFonts w:eastAsia="Arial"/>
          <w:color w:val="000000"/>
          <w:sz w:val="24"/>
          <w:szCs w:val="24"/>
        </w:rPr>
      </w:r>
    </w:p>
    <w:p>
      <w:pPr>
        <w:pStyle w:val="1056"/>
        <w:numPr>
          <w:ilvl w:val="2"/>
          <w:numId w:val="18"/>
        </w:numPr>
        <w:pBdr/>
        <w:tabs>
          <w:tab w:val="clear" w:leader="none" w:pos="720"/>
          <w:tab w:val="left" w:leader="none" w:pos="851"/>
          <w:tab w:val="left" w:leader="none" w:pos="1134"/>
        </w:tabs>
        <w:spacing w:line="276" w:lineRule="auto"/>
        <w:ind w:firstLine="0" w:left="0"/>
        <w:rPr>
          <w:rFonts w:eastAsia="Arial"/>
          <w:color w:val="000000"/>
          <w:sz w:val="24"/>
          <w:szCs w:val="24"/>
        </w:rPr>
      </w:pPr>
      <w:r>
        <w:rPr>
          <w:rFonts w:eastAsia="Arial"/>
          <w:color w:val="000000"/>
          <w:sz w:val="24"/>
          <w:szCs w:val="24"/>
        </w:rPr>
        <w:t xml:space="preserve"> </w:t>
      </w:r>
      <w:r>
        <w:rPr>
          <w:rFonts w:eastAsia="Arial"/>
          <w:color w:val="000000"/>
          <w:sz w:val="24"/>
          <w:szCs w:val="24"/>
        </w:rPr>
        <w:t xml:space="preserve">quando o licitante vencedor não assinar a ata de registro de preços no prazo e nas condições estabelecidos no edital; ou</w:t>
      </w:r>
      <w:r>
        <w:rPr>
          <w:rFonts w:eastAsia="Arial"/>
          <w:color w:val="000000"/>
          <w:sz w:val="24"/>
          <w:szCs w:val="24"/>
        </w:rPr>
      </w:r>
    </w:p>
    <w:p>
      <w:pPr>
        <w:pStyle w:val="1056"/>
        <w:numPr>
          <w:ilvl w:val="2"/>
          <w:numId w:val="18"/>
        </w:numPr>
        <w:pBdr/>
        <w:tabs>
          <w:tab w:val="clear" w:leader="none" w:pos="720"/>
          <w:tab w:val="left" w:leader="none" w:pos="851"/>
          <w:tab w:val="left" w:leader="none" w:pos="1134"/>
        </w:tabs>
        <w:spacing w:line="276" w:lineRule="auto"/>
        <w:ind w:firstLine="0" w:left="0"/>
        <w:rPr>
          <w:rFonts w:eastAsia="Arial"/>
          <w:color w:val="000000"/>
          <w:sz w:val="24"/>
          <w:szCs w:val="24"/>
        </w:rPr>
      </w:pPr>
      <w:r>
        <w:rPr>
          <w:rFonts w:eastAsia="Arial"/>
          <w:color w:val="000000"/>
          <w:sz w:val="24"/>
          <w:szCs w:val="24"/>
        </w:rPr>
        <w:t xml:space="preserve">quando houver o cancelamento do registro do fornecedor ou do registro de preços, nas hipóteses previstas nos art. 28 e art. 29 do Decreto nº 11.462/23.</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Na hipótese de nenhum dos licitantes que aceitaram cotar o objet</w:t>
      </w:r>
      <w:r>
        <w:rPr>
          <w:rFonts w:eastAsia="Arial"/>
          <w:color w:val="000000"/>
          <w:sz w:val="24"/>
          <w:szCs w:val="24"/>
        </w:rPr>
        <w:t xml:space="preserve">o com preço igual ao do adjudicatário concordar com a contratação nos termos em igual prazo e nas condições propostas pelo primeiro classificado, a Administração, observados o valor estimado e a sua eventual atualização na forma prevista no edital, poderá:</w:t>
      </w:r>
      <w:r>
        <w:rPr>
          <w:rFonts w:eastAsia="Arial"/>
          <w:color w:val="000000"/>
          <w:sz w:val="24"/>
          <w:szCs w:val="24"/>
        </w:rPr>
      </w:r>
    </w:p>
    <w:p>
      <w:pPr>
        <w:pStyle w:val="1056"/>
        <w:numPr>
          <w:ilvl w:val="2"/>
          <w:numId w:val="18"/>
        </w:numPr>
        <w:pBdr/>
        <w:tabs>
          <w:tab w:val="clear" w:leader="none" w:pos="720"/>
          <w:tab w:val="left" w:leader="none" w:pos="851"/>
          <w:tab w:val="left" w:leader="none" w:pos="1134"/>
        </w:tabs>
        <w:spacing w:line="276" w:lineRule="auto"/>
        <w:ind w:firstLine="0" w:left="0"/>
        <w:rPr>
          <w:rFonts w:eastAsia="Arial"/>
          <w:color w:val="000000"/>
          <w:sz w:val="24"/>
          <w:szCs w:val="24"/>
        </w:rPr>
      </w:pPr>
      <w:r>
        <w:rPr>
          <w:rFonts w:eastAsia="Arial"/>
          <w:color w:val="000000"/>
          <w:sz w:val="24"/>
          <w:szCs w:val="24"/>
        </w:rPr>
        <w:t xml:space="preserve"> </w:t>
      </w:r>
      <w:r>
        <w:rPr>
          <w:rFonts w:eastAsia="Arial"/>
          <w:color w:val="000000"/>
          <w:sz w:val="24"/>
          <w:szCs w:val="24"/>
        </w:rPr>
        <w:t xml:space="preserve">convocar os licitantes que mantiveram sua proposta original para negociação, na ordem de classificação, com vistas à obtenção de preço melhor, mesmo que acima do preço do adjudicatário; ou</w:t>
      </w:r>
      <w:r>
        <w:rPr>
          <w:rFonts w:eastAsia="Arial"/>
          <w:color w:val="000000"/>
          <w:sz w:val="24"/>
          <w:szCs w:val="24"/>
        </w:rPr>
      </w:r>
    </w:p>
    <w:p>
      <w:pPr>
        <w:pStyle w:val="1056"/>
        <w:numPr>
          <w:ilvl w:val="2"/>
          <w:numId w:val="18"/>
        </w:numPr>
        <w:pBdr/>
        <w:tabs>
          <w:tab w:val="clear" w:leader="none" w:pos="720"/>
          <w:tab w:val="left" w:leader="none" w:pos="851"/>
          <w:tab w:val="left" w:leader="none" w:pos="1134"/>
        </w:tabs>
        <w:spacing w:line="276" w:lineRule="auto"/>
        <w:ind w:firstLine="0" w:left="0"/>
        <w:rPr>
          <w:rFonts w:eastAsia="Arial"/>
          <w:color w:val="000000"/>
          <w:sz w:val="24"/>
          <w:szCs w:val="24"/>
        </w:rPr>
      </w:pPr>
      <w:r/>
      <w:bookmarkStart w:id="53" w:name="bookmark=id.4k668n3"/>
      <w:r/>
      <w:bookmarkEnd w:id="53"/>
      <w:r>
        <w:rPr>
          <w:rFonts w:eastAsia="Arial"/>
          <w:color w:val="000000"/>
          <w:sz w:val="24"/>
          <w:szCs w:val="24"/>
        </w:rPr>
        <w:t xml:space="preserve">adjudicar e firmar o contrato nas condições ofertadas pelos licitantes remanescentes, observada a ordem de classificação, quando frustrada a negociação de melhor condição.</w:t>
      </w:r>
      <w:r>
        <w:rPr>
          <w:rFonts w:eastAsia="Arial"/>
          <w:color w:val="000000"/>
          <w:sz w:val="24"/>
          <w:szCs w:val="24"/>
        </w:rPr>
      </w:r>
    </w:p>
    <w:p>
      <w:pPr>
        <w:pStyle w:val="1056"/>
        <w:pBdr/>
        <w:spacing w:after="0" w:before="0"/>
        <w:ind/>
        <w:rPr>
          <w:rFonts w:eastAsia="Arial"/>
          <w:b/>
          <w:i/>
          <w:color w:val="000000"/>
          <w:sz w:val="24"/>
          <w:szCs w:val="24"/>
        </w:rPr>
      </w:pPr>
      <w:r>
        <w:rPr>
          <w:rFonts w:eastAsia="Arial"/>
          <w:b/>
          <w:i/>
          <w:color w:val="000000"/>
          <w:sz w:val="24"/>
          <w:szCs w:val="24"/>
        </w:rPr>
      </w:r>
      <w:r>
        <w:rPr>
          <w:rFonts w:eastAsia="Arial"/>
          <w:b/>
          <w:i/>
          <w:color w:val="000000"/>
          <w:sz w:val="24"/>
          <w:szCs w:val="24"/>
        </w:rPr>
      </w:r>
    </w:p>
    <w:p>
      <w:pPr>
        <w:pStyle w:val="1056"/>
        <w:numPr>
          <w:ilvl w:val="0"/>
          <w:numId w:val="18"/>
        </w:numPr>
        <w:pBdr/>
        <w:tabs>
          <w:tab w:val="left" w:leader="none" w:pos="426"/>
          <w:tab w:val="clear" w:leader="none" w:pos="720"/>
          <w:tab w:val="left" w:leader="none" w:pos="851"/>
        </w:tabs>
        <w:spacing w:after="240" w:before="120"/>
        <w:ind w:firstLine="0" w:left="0"/>
        <w:rPr>
          <w:rFonts w:eastAsia="Arial"/>
          <w:b/>
          <w:color w:val="000000"/>
          <w:sz w:val="24"/>
          <w:szCs w:val="24"/>
          <w:u w:val="single"/>
        </w:rPr>
      </w:pPr>
      <w:r/>
      <w:bookmarkStart w:id="54" w:name="bookmark=id.2zbgiuw"/>
      <w:r/>
      <w:bookmarkEnd w:id="54"/>
      <w:r>
        <w:rPr>
          <w:rFonts w:eastAsia="Arial"/>
          <w:b/>
          <w:color w:val="000000"/>
          <w:sz w:val="24"/>
          <w:szCs w:val="24"/>
          <w:u w:val="single"/>
        </w:rPr>
        <w:t xml:space="preserve">DA UTILIZAÇÃO DA ATA DE REGISTRO DE PREÇOS POR ÓRGÃOS OU ENTIDADES NÃO PARTICIPANTES:</w:t>
      </w:r>
      <w:r>
        <w:rPr>
          <w:rFonts w:eastAsia="Arial"/>
          <w:b/>
          <w:color w:val="000000"/>
          <w:sz w:val="24"/>
          <w:szCs w:val="24"/>
          <w:u w:val="single"/>
        </w:rPr>
      </w:r>
    </w:p>
    <w:p>
      <w:pPr>
        <w:pStyle w:val="1056"/>
        <w:numPr>
          <w:ilvl w:val="1"/>
          <w:numId w:val="18"/>
        </w:numPr>
        <w:pBdr/>
        <w:tabs>
          <w:tab w:val="left" w:leader="none" w:pos="426"/>
          <w:tab w:val="clear" w:leader="none" w:pos="720"/>
          <w:tab w:val="left" w:leader="none" w:pos="851"/>
        </w:tabs>
        <w:spacing w:after="240" w:before="120"/>
        <w:ind w:firstLine="0" w:left="0"/>
        <w:rPr>
          <w:rFonts w:eastAsia="Arial"/>
          <w:b/>
          <w:color w:val="000000"/>
          <w:sz w:val="24"/>
          <w:szCs w:val="24"/>
          <w:u w:val="single"/>
        </w:rPr>
      </w:pPr>
      <w:r>
        <w:rPr>
          <w:rFonts w:eastAsia="Arial"/>
          <w:b/>
          <w:color w:val="000000"/>
          <w:sz w:val="24"/>
          <w:szCs w:val="24"/>
          <w:u w:val="single"/>
        </w:rPr>
        <w:t xml:space="preserve">REGRA GERAL:</w:t>
      </w:r>
      <w:r>
        <w:rPr>
          <w:rFonts w:eastAsia="Arial"/>
          <w:b/>
          <w:color w:val="000000"/>
          <w:sz w:val="24"/>
          <w:szCs w:val="24"/>
          <w:u w:val="single"/>
        </w:rPr>
      </w:r>
    </w:p>
    <w:p>
      <w:pPr>
        <w:pStyle w:val="1056"/>
        <w:numPr>
          <w:ilvl w:val="2"/>
          <w:numId w:val="18"/>
        </w:numPr>
        <w:pBdr/>
        <w:tabs>
          <w:tab w:val="left" w:leader="none" w:pos="0"/>
          <w:tab w:val="clear" w:leader="none" w:pos="720"/>
          <w:tab w:val="left" w:leader="none" w:pos="851"/>
        </w:tabs>
        <w:spacing w:after="240" w:before="120"/>
        <w:ind w:firstLine="0" w:left="0"/>
        <w:rPr>
          <w:rFonts w:eastAsia="Arial"/>
          <w:b/>
          <w:color w:val="000000"/>
          <w:sz w:val="24"/>
          <w:szCs w:val="24"/>
          <w:u w:val="single"/>
        </w:rPr>
      </w:pPr>
      <w:r>
        <w:rPr>
          <w:rFonts w:eastAsia="Arial"/>
          <w:color w:val="000000"/>
          <w:sz w:val="24"/>
          <w:szCs w:val="24"/>
        </w:rPr>
        <w:t xml:space="preserve">Durante a vigência da ata, os órgãos e as entidades</w:t>
      </w:r>
      <w:r>
        <w:rPr>
          <w:rFonts w:eastAsia="Arial"/>
          <w:color w:val="000000"/>
          <w:sz w:val="24"/>
          <w:szCs w:val="24"/>
        </w:rPr>
        <w:t xml:space="preserve"> da Administração Pública federal, estadual, distrital e municipal que não participaram do procedimento de IRP poderão aderir à ata de registro de preços na condição de não participantes, observados os requisitos do art. 31, Decreto Federal nº 11.462/2023.</w:t>
      </w:r>
      <w:r>
        <w:rPr>
          <w:rFonts w:eastAsia="Arial"/>
          <w:b/>
          <w:color w:val="000000"/>
          <w:sz w:val="24"/>
          <w:szCs w:val="24"/>
          <w:u w:val="single"/>
        </w:rPr>
      </w:r>
    </w:p>
    <w:p>
      <w:pPr>
        <w:pStyle w:val="1056"/>
        <w:numPr>
          <w:ilvl w:val="1"/>
          <w:numId w:val="18"/>
        </w:numPr>
        <w:pBdr/>
        <w:tabs>
          <w:tab w:val="left" w:leader="none" w:pos="0"/>
          <w:tab w:val="clear" w:leader="none" w:pos="720"/>
          <w:tab w:val="left" w:leader="none" w:pos="851"/>
        </w:tabs>
        <w:spacing w:after="240" w:before="120"/>
        <w:ind w:firstLine="0" w:left="0"/>
        <w:rPr>
          <w:rFonts w:eastAsia="Arial"/>
          <w:b/>
          <w:color w:val="000000"/>
          <w:sz w:val="24"/>
          <w:szCs w:val="24"/>
          <w:u w:val="single"/>
        </w:rPr>
      </w:pPr>
      <w:r>
        <w:rPr>
          <w:rFonts w:eastAsia="Arial"/>
          <w:b/>
          <w:color w:val="000000"/>
          <w:sz w:val="24"/>
          <w:szCs w:val="24"/>
          <w:u w:val="single"/>
        </w:rPr>
        <w:t xml:space="preserve">LIMITES PARA AS ADESÕES:</w:t>
      </w:r>
      <w:r>
        <w:rPr>
          <w:rFonts w:eastAsia="Arial"/>
          <w:b/>
          <w:color w:val="000000"/>
          <w:sz w:val="24"/>
          <w:szCs w:val="24"/>
          <w:u w:val="single"/>
        </w:rPr>
      </w:r>
    </w:p>
    <w:p>
      <w:pPr>
        <w:pStyle w:val="1056"/>
        <w:numPr>
          <w:ilvl w:val="2"/>
          <w:numId w:val="18"/>
        </w:numPr>
        <w:pBdr/>
        <w:tabs>
          <w:tab w:val="left" w:leader="none" w:pos="0"/>
          <w:tab w:val="clear" w:leader="none" w:pos="720"/>
          <w:tab w:val="left" w:leader="none" w:pos="851"/>
        </w:tabs>
        <w:spacing w:after="240" w:before="120"/>
        <w:ind w:firstLine="0" w:left="0"/>
        <w:rPr>
          <w:rFonts w:eastAsia="Arial"/>
          <w:b/>
          <w:color w:val="000000"/>
          <w:sz w:val="24"/>
          <w:szCs w:val="24"/>
          <w:u w:val="single"/>
        </w:rPr>
      </w:pPr>
      <w:r>
        <w:rPr>
          <w:rFonts w:eastAsia="Arial"/>
          <w:color w:val="000000"/>
          <w:sz w:val="24"/>
          <w:szCs w:val="24"/>
        </w:rPr>
        <w:t xml:space="preserve">Serão observadas as seguintes regras de controle para a adesão à ata de registro de preços de que trata o art. 31, Decreto Federal nº 11.462/2023:</w:t>
      </w:r>
      <w:r>
        <w:rPr>
          <w:rFonts w:eastAsia="Arial"/>
          <w:b/>
          <w:color w:val="000000"/>
          <w:sz w:val="24"/>
          <w:szCs w:val="24"/>
          <w:u w:val="single"/>
        </w:rPr>
      </w:r>
    </w:p>
    <w:p>
      <w:pPr>
        <w:pStyle w:val="1056"/>
        <w:numPr>
          <w:ilvl w:val="3"/>
          <w:numId w:val="18"/>
        </w:numPr>
        <w:pBdr/>
        <w:tabs>
          <w:tab w:val="left" w:leader="none" w:pos="0"/>
          <w:tab w:val="clear" w:leader="none" w:pos="720"/>
          <w:tab w:val="left" w:leader="none" w:pos="851"/>
          <w:tab w:val="left" w:leader="none" w:pos="1134"/>
        </w:tabs>
        <w:spacing w:after="240" w:before="120"/>
        <w:ind w:firstLine="0" w:left="0"/>
        <w:rPr>
          <w:rFonts w:eastAsia="Arial"/>
          <w:b/>
          <w:color w:val="000000"/>
          <w:sz w:val="24"/>
          <w:szCs w:val="24"/>
          <w:u w:val="single"/>
        </w:rPr>
      </w:pPr>
      <w:r>
        <w:rPr>
          <w:rFonts w:eastAsia="Arial"/>
          <w:color w:val="000000"/>
          <w:sz w:val="24"/>
          <w:szCs w:val="24"/>
        </w:rPr>
        <w:t xml:space="preserve">As aquisições ou as contratações adicionais </w:t>
      </w:r>
      <w:r>
        <w:rPr>
          <w:rFonts w:eastAsia="Arial"/>
          <w:b/>
          <w:color w:val="000000"/>
          <w:sz w:val="24"/>
          <w:szCs w:val="24"/>
        </w:rPr>
        <w:t xml:space="preserve">não poderão exceder, por órgão ou entidade, a cinquenta por cento dos quantitativos dos itens</w:t>
      </w:r>
      <w:r>
        <w:rPr>
          <w:rFonts w:eastAsia="Arial"/>
          <w:color w:val="000000"/>
          <w:sz w:val="24"/>
          <w:szCs w:val="24"/>
        </w:rPr>
        <w:t xml:space="preserve"> do instrumento convocatório registrado na ata de registro de preços para o órgão ou a entidade gerenciadora e para os órgãos ou as entidades participantes; e</w:t>
      </w:r>
      <w:r>
        <w:rPr>
          <w:rFonts w:eastAsia="Arial"/>
          <w:b/>
          <w:color w:val="000000"/>
          <w:sz w:val="24"/>
          <w:szCs w:val="24"/>
          <w:u w:val="single"/>
        </w:rPr>
      </w:r>
    </w:p>
    <w:p>
      <w:pPr>
        <w:pStyle w:val="1056"/>
        <w:numPr>
          <w:ilvl w:val="3"/>
          <w:numId w:val="18"/>
        </w:numPr>
        <w:pBdr/>
        <w:tabs>
          <w:tab w:val="left" w:leader="none" w:pos="0"/>
          <w:tab w:val="clear" w:leader="none" w:pos="720"/>
          <w:tab w:val="left" w:leader="none" w:pos="851"/>
          <w:tab w:val="left" w:leader="none" w:pos="1134"/>
        </w:tabs>
        <w:spacing w:after="240" w:before="120"/>
        <w:ind w:firstLine="0" w:left="0"/>
        <w:rPr>
          <w:rFonts w:eastAsia="Arial"/>
          <w:b/>
          <w:color w:val="000000"/>
          <w:sz w:val="24"/>
          <w:szCs w:val="24"/>
          <w:u w:val="single"/>
        </w:rPr>
      </w:pPr>
      <w:r>
        <w:rPr>
          <w:rFonts w:eastAsia="Arial"/>
          <w:color w:val="000000"/>
          <w:sz w:val="24"/>
          <w:szCs w:val="24"/>
        </w:rPr>
        <w:t xml:space="preserve">O quantitativo decorrente das adesões </w:t>
      </w:r>
      <w:r>
        <w:rPr>
          <w:rFonts w:eastAsia="Arial"/>
          <w:b/>
          <w:color w:val="000000"/>
          <w:sz w:val="24"/>
          <w:szCs w:val="24"/>
        </w:rPr>
        <w:t xml:space="preserve">não poderá exceder, na totalidade, ao dobro do quantitativo de cada item registrado</w:t>
      </w:r>
      <w:r>
        <w:rPr>
          <w:rFonts w:eastAsia="Arial"/>
          <w:color w:val="000000"/>
          <w:sz w:val="24"/>
          <w:szCs w:val="24"/>
        </w:rPr>
        <w:t xml:space="preserve"> na ata de registro de preços para o órgão ou a entidade gerenciadora e os órgãos ou as entidades participantes, independentemente do número de órgãos ou entidades não participantes que aderirem à ata de registro de preços.</w:t>
      </w:r>
      <w:r>
        <w:rPr>
          <w:rFonts w:eastAsia="Arial"/>
          <w:b/>
          <w:color w:val="000000"/>
          <w:sz w:val="24"/>
          <w:szCs w:val="24"/>
          <w:u w:val="single"/>
        </w:rPr>
      </w:r>
    </w:p>
    <w:p>
      <w:pPr>
        <w:pStyle w:val="1056"/>
        <w:numPr>
          <w:ilvl w:val="0"/>
          <w:numId w:val="18"/>
        </w:numPr>
        <w:pBdr/>
        <w:tabs>
          <w:tab w:val="left" w:leader="none" w:pos="426"/>
          <w:tab w:val="left" w:leader="none" w:pos="567"/>
          <w:tab w:val="clear" w:leader="none" w:pos="720"/>
          <w:tab w:val="left" w:leader="none" w:pos="851"/>
        </w:tabs>
        <w:spacing w:after="240" w:before="120"/>
        <w:ind w:firstLine="0" w:left="0"/>
        <w:rPr>
          <w:rFonts w:eastAsia="Arial"/>
          <w:color w:val="000000"/>
          <w:sz w:val="24"/>
          <w:szCs w:val="24"/>
          <w:u w:val="single"/>
        </w:rPr>
      </w:pPr>
      <w:r>
        <w:rPr>
          <w:rFonts w:eastAsia="Arial"/>
          <w:b/>
          <w:color w:val="000000"/>
          <w:sz w:val="24"/>
          <w:szCs w:val="24"/>
          <w:u w:val="single"/>
        </w:rPr>
        <w:t xml:space="preserve">ALTERAÇÃO OU ATUALIZAÇÃO DOS PREÇOS REGISTRADOS:</w:t>
      </w:r>
      <w:r>
        <w:rPr>
          <w:rFonts w:eastAsia="Arial"/>
          <w:color w:val="000000"/>
          <w:sz w:val="24"/>
          <w:szCs w:val="24"/>
          <w:u w:val="single"/>
        </w:rPr>
      </w:r>
    </w:p>
    <w:p>
      <w:pPr>
        <w:pStyle w:val="1056"/>
        <w:numPr>
          <w:ilvl w:val="1"/>
          <w:numId w:val="18"/>
        </w:numPr>
        <w:pBdr/>
        <w:tabs>
          <w:tab w:val="left" w:leader="none" w:pos="426"/>
          <w:tab w:val="left" w:leader="none" w:pos="567"/>
          <w:tab w:val="clear" w:leader="none" w:pos="720"/>
          <w:tab w:val="left" w:leader="none" w:pos="851"/>
        </w:tabs>
        <w:spacing w:after="240" w:before="120"/>
        <w:ind w:firstLine="0" w:left="0"/>
        <w:rPr>
          <w:rFonts w:eastAsia="Arial"/>
          <w:color w:val="000000"/>
          <w:sz w:val="24"/>
          <w:szCs w:val="24"/>
        </w:rPr>
      </w:pPr>
      <w:r>
        <w:rPr>
          <w:rFonts w:eastAsia="Arial"/>
          <w:color w:val="000000"/>
          <w:sz w:val="24"/>
          <w:szCs w:val="24"/>
        </w:rPr>
        <w:t xml:space="preserve">Os preços registrados poderão ser alterados ou atualizados em decorrência de eventual redução dos preços praticados no mercado ou de fato que eleve o custo dos bens, das obras ou dos serviços registrados, situações previstas </w:t>
      </w:r>
      <w:r>
        <w:rPr>
          <w:rFonts w:eastAsia="Arial"/>
          <w:b/>
          <w:color w:val="000000"/>
          <w:sz w:val="24"/>
          <w:szCs w:val="24"/>
        </w:rPr>
        <w:t xml:space="preserve">nos inciso I a III do art. 25 do Decreto Federal nº 11.462/2023</w:t>
      </w:r>
      <w:r>
        <w:rPr>
          <w:rFonts w:eastAsia="Arial"/>
          <w:color w:val="000000"/>
          <w:sz w:val="24"/>
          <w:szCs w:val="24"/>
        </w:rPr>
        <w:t xml:space="preserve">;</w:t>
      </w:r>
      <w:r>
        <w:rPr>
          <w:rFonts w:eastAsia="Arial"/>
          <w:color w:val="000000"/>
          <w:sz w:val="24"/>
          <w:szCs w:val="24"/>
        </w:rPr>
      </w:r>
    </w:p>
    <w:p>
      <w:pPr>
        <w:pStyle w:val="1056"/>
        <w:numPr>
          <w:ilvl w:val="1"/>
          <w:numId w:val="18"/>
        </w:numPr>
        <w:pBdr/>
        <w:tabs>
          <w:tab w:val="left" w:leader="none" w:pos="426"/>
          <w:tab w:val="left" w:leader="none" w:pos="567"/>
          <w:tab w:val="clear" w:leader="none" w:pos="720"/>
          <w:tab w:val="left" w:leader="none" w:pos="851"/>
        </w:tabs>
        <w:spacing w:after="240" w:before="120"/>
        <w:ind w:firstLine="0" w:left="0"/>
        <w:rPr>
          <w:rFonts w:eastAsia="Arial"/>
          <w:color w:val="000000"/>
          <w:sz w:val="24"/>
          <w:szCs w:val="24"/>
        </w:rPr>
      </w:pPr>
      <w:r>
        <w:rPr>
          <w:rFonts w:eastAsia="Arial"/>
          <w:color w:val="000000"/>
          <w:sz w:val="24"/>
          <w:szCs w:val="24"/>
        </w:rPr>
        <w:t xml:space="preserve">Mesmo comprovada a ocorrência das situações previstas </w:t>
      </w:r>
      <w:r>
        <w:rPr>
          <w:rFonts w:eastAsia="Arial"/>
          <w:b/>
          <w:color w:val="000000"/>
          <w:sz w:val="24"/>
          <w:szCs w:val="24"/>
        </w:rPr>
        <w:t xml:space="preserve">nos inciso I a III do art. 25 do Decreto Federal nº 11.462/2023</w:t>
      </w:r>
      <w:r>
        <w:rPr>
          <w:rFonts w:eastAsia="Arial"/>
          <w:color w:val="000000"/>
          <w:sz w:val="24"/>
          <w:szCs w:val="24"/>
        </w:rPr>
        <w:t xml:space="preserve"> se a Administração julgar conveniente poderá</w:t>
      </w:r>
      <w:r>
        <w:rPr>
          <w:rFonts w:eastAsia="Arial"/>
          <w:b/>
          <w:color w:val="000000"/>
          <w:sz w:val="24"/>
          <w:szCs w:val="24"/>
        </w:rPr>
        <w:t xml:space="preserve"> optar por cancelar</w:t>
      </w:r>
      <w:r>
        <w:rPr>
          <w:rFonts w:eastAsia="Arial"/>
          <w:color w:val="000000"/>
          <w:sz w:val="24"/>
          <w:szCs w:val="24"/>
        </w:rPr>
        <w:t xml:space="preserve"> a ATA DE REGISTRO DE PREÇOS e iniciar outro processo licitatório;</w:t>
      </w:r>
      <w:r>
        <w:rPr>
          <w:rFonts w:eastAsia="Arial"/>
          <w:color w:val="000000"/>
          <w:sz w:val="24"/>
          <w:szCs w:val="24"/>
        </w:rPr>
      </w:r>
    </w:p>
    <w:p>
      <w:pPr>
        <w:pStyle w:val="1056"/>
        <w:numPr>
          <w:ilvl w:val="1"/>
          <w:numId w:val="18"/>
        </w:numPr>
        <w:pBdr/>
        <w:tabs>
          <w:tab w:val="left" w:leader="none" w:pos="426"/>
          <w:tab w:val="left" w:leader="none" w:pos="567"/>
          <w:tab w:val="clear" w:leader="none" w:pos="720"/>
          <w:tab w:val="left" w:leader="none" w:pos="851"/>
        </w:tabs>
        <w:spacing w:after="240" w:before="120"/>
        <w:ind w:firstLine="0" w:left="0"/>
        <w:rPr>
          <w:rFonts w:eastAsia="Arial"/>
          <w:color w:val="000000"/>
          <w:sz w:val="24"/>
          <w:szCs w:val="24"/>
        </w:rPr>
      </w:pPr>
      <w:r>
        <w:rPr>
          <w:rFonts w:eastAsia="Arial"/>
          <w:color w:val="000000"/>
          <w:sz w:val="24"/>
          <w:szCs w:val="24"/>
        </w:rPr>
        <w:t xml:space="preserve">Quando o valor constante na ATA DE REGISTRO DE PREÇOS, por motivo superveniente, tornar-se superior ou inferior ao valor praticado no mercado, o Órgão Gerenciador deverá convocar o fornecedor visando a </w:t>
      </w:r>
      <w:r>
        <w:rPr>
          <w:rFonts w:eastAsia="Arial"/>
          <w:b/>
          <w:color w:val="000000"/>
          <w:sz w:val="24"/>
          <w:szCs w:val="24"/>
        </w:rPr>
        <w:t xml:space="preserve">negociação para adequação ao praticado pelo mercado</w:t>
      </w:r>
      <w:r>
        <w:rPr>
          <w:rFonts w:eastAsia="Arial"/>
          <w:color w:val="000000"/>
          <w:sz w:val="24"/>
          <w:szCs w:val="24"/>
        </w:rPr>
        <w:t xml:space="preserve">. Frustrada a negociação, o fornecedor será liberado do compromisso assumido, e convocado(s) outro(s) fornecedor (es) na ordem de classificação instituída na fase de lances do Certame;</w:t>
      </w:r>
      <w:r>
        <w:rPr>
          <w:rFonts w:eastAsia="Arial"/>
          <w:color w:val="000000"/>
          <w:sz w:val="24"/>
          <w:szCs w:val="24"/>
        </w:rPr>
      </w:r>
    </w:p>
    <w:p>
      <w:pPr>
        <w:pStyle w:val="1056"/>
        <w:numPr>
          <w:ilvl w:val="1"/>
          <w:numId w:val="18"/>
        </w:numPr>
        <w:pBdr/>
        <w:tabs>
          <w:tab w:val="left" w:leader="none" w:pos="426"/>
          <w:tab w:val="left" w:leader="none" w:pos="567"/>
          <w:tab w:val="clear" w:leader="none" w:pos="720"/>
          <w:tab w:val="left" w:leader="none" w:pos="851"/>
        </w:tabs>
        <w:spacing w:after="240" w:before="120"/>
        <w:ind w:firstLine="0" w:left="0"/>
        <w:rPr>
          <w:rFonts w:eastAsia="Arial"/>
          <w:color w:val="000000"/>
          <w:sz w:val="24"/>
          <w:szCs w:val="24"/>
        </w:rPr>
      </w:pPr>
      <w:r>
        <w:rPr>
          <w:rFonts w:eastAsia="Arial"/>
          <w:color w:val="000000"/>
          <w:sz w:val="24"/>
          <w:szCs w:val="24"/>
        </w:rPr>
        <w:t xml:space="preserve">O(s) fornecedor (es) fica(m) obrigado(s) a comunicar (em) a </w:t>
      </w:r>
      <w:r>
        <w:rPr>
          <w:rFonts w:eastAsia="Arial"/>
          <w:b/>
          <w:color w:val="000000"/>
          <w:sz w:val="24"/>
          <w:szCs w:val="24"/>
        </w:rPr>
        <w:t xml:space="preserve">variação de preços</w:t>
      </w:r>
      <w:r>
        <w:rPr>
          <w:rFonts w:eastAsia="Arial"/>
          <w:color w:val="000000"/>
          <w:sz w:val="24"/>
          <w:szCs w:val="24"/>
        </w:rPr>
        <w:t xml:space="preserve"> quando este se posicionar abaixo do preço de mercado;</w:t>
      </w:r>
      <w:r>
        <w:rPr>
          <w:rFonts w:eastAsia="Arial"/>
          <w:color w:val="000000"/>
          <w:sz w:val="24"/>
          <w:szCs w:val="24"/>
        </w:rPr>
      </w:r>
    </w:p>
    <w:p>
      <w:pPr>
        <w:pStyle w:val="1056"/>
        <w:numPr>
          <w:ilvl w:val="1"/>
          <w:numId w:val="18"/>
        </w:numPr>
        <w:pBdr/>
        <w:tabs>
          <w:tab w:val="left" w:leader="none" w:pos="426"/>
          <w:tab w:val="left" w:leader="none" w:pos="567"/>
          <w:tab w:val="clear" w:leader="none" w:pos="720"/>
          <w:tab w:val="left" w:leader="none" w:pos="851"/>
        </w:tabs>
        <w:spacing w:after="240" w:before="120"/>
        <w:ind w:firstLine="0" w:left="0"/>
        <w:rPr>
          <w:rFonts w:eastAsia="Arial"/>
          <w:color w:val="000000"/>
          <w:sz w:val="24"/>
          <w:szCs w:val="24"/>
        </w:rPr>
      </w:pPr>
      <w:r>
        <w:rPr>
          <w:rFonts w:eastAsia="Arial"/>
          <w:color w:val="000000"/>
          <w:sz w:val="24"/>
          <w:szCs w:val="24"/>
        </w:rPr>
        <w:t xml:space="preserve">Quando o(s) </w:t>
      </w:r>
      <w:r>
        <w:rPr>
          <w:rFonts w:eastAsia="Arial"/>
          <w:b/>
          <w:color w:val="000000"/>
          <w:sz w:val="24"/>
          <w:szCs w:val="24"/>
        </w:rPr>
        <w:t xml:space="preserve">valor (es) de mercado tornar-se superior (es) ao(s) valor (es) do(s) lance(s) vencedor (es) da licitação</w:t>
      </w:r>
      <w:r>
        <w:rPr>
          <w:rFonts w:eastAsia="Arial"/>
          <w:color w:val="000000"/>
          <w:sz w:val="24"/>
          <w:szCs w:val="24"/>
        </w:rPr>
        <w:t xml:space="preserve"> e o(s) fornecedor (es), mediante requerimento devidamente comprovado, não puder cumprir o compromisso, o Órgão Gerenciador poderá liberá-lo do com</w:t>
      </w:r>
      <w:r>
        <w:rPr>
          <w:rFonts w:eastAsia="Arial"/>
          <w:color w:val="000000"/>
          <w:sz w:val="24"/>
          <w:szCs w:val="24"/>
        </w:rPr>
        <w:t xml:space="preserve">promisso assumido, sem aplicação de penalidade, confirmando a veracidade dos motivos por meio de comprovante(s) apresentado(s) e se a comunicação ocorrer antes do pedido de fornecimento, podendo convocar os demais fornecedor (es) na ordem de classificação;</w:t>
      </w:r>
      <w:r>
        <w:rPr>
          <w:rFonts w:eastAsia="Arial"/>
          <w:color w:val="000000"/>
          <w:sz w:val="24"/>
          <w:szCs w:val="24"/>
        </w:rPr>
      </w:r>
    </w:p>
    <w:p>
      <w:pPr>
        <w:pStyle w:val="1056"/>
        <w:numPr>
          <w:ilvl w:val="1"/>
          <w:numId w:val="18"/>
        </w:numPr>
        <w:pBdr/>
        <w:tabs>
          <w:tab w:val="left" w:leader="none" w:pos="426"/>
          <w:tab w:val="left" w:leader="none" w:pos="567"/>
          <w:tab w:val="clear" w:leader="none" w:pos="720"/>
          <w:tab w:val="left" w:leader="none" w:pos="851"/>
        </w:tabs>
        <w:spacing w:after="240" w:before="120"/>
        <w:ind w:firstLine="0" w:left="0"/>
        <w:rPr>
          <w:rFonts w:eastAsia="Arial"/>
          <w:color w:val="000000"/>
          <w:sz w:val="24"/>
          <w:szCs w:val="24"/>
        </w:rPr>
      </w:pPr>
      <w:r>
        <w:rPr>
          <w:rFonts w:eastAsia="Arial"/>
          <w:color w:val="000000"/>
          <w:sz w:val="24"/>
          <w:szCs w:val="24"/>
        </w:rPr>
        <w:t xml:space="preserve">Se não obtiver ê</w:t>
      </w:r>
      <w:r>
        <w:rPr>
          <w:rFonts w:eastAsia="Arial"/>
          <w:color w:val="000000"/>
          <w:sz w:val="24"/>
          <w:szCs w:val="24"/>
        </w:rPr>
        <w:t xml:space="preserve">xito nas negociações, o órgão ou a entidade gerenciadora procederá ao cancelamento da ata de registro de preços, nos termos do disposto no art. 29, Decreto Federal nº 11.462/2023, e adotará as medidas cabíveis para a obtenção de contratação mais vantajosa;</w:t>
      </w:r>
      <w:r>
        <w:rPr>
          <w:rFonts w:eastAsia="Arial"/>
          <w:color w:val="000000"/>
          <w:sz w:val="24"/>
          <w:szCs w:val="24"/>
        </w:rPr>
      </w:r>
    </w:p>
    <w:p>
      <w:pPr>
        <w:pStyle w:val="1056"/>
        <w:numPr>
          <w:ilvl w:val="1"/>
          <w:numId w:val="18"/>
        </w:numPr>
        <w:pBdr/>
        <w:tabs>
          <w:tab w:val="left" w:leader="none" w:pos="426"/>
          <w:tab w:val="left" w:leader="none" w:pos="567"/>
          <w:tab w:val="clear" w:leader="none" w:pos="720"/>
          <w:tab w:val="left" w:leader="none" w:pos="851"/>
        </w:tabs>
        <w:spacing w:after="240" w:before="120"/>
        <w:ind w:firstLine="0" w:left="0"/>
        <w:rPr>
          <w:rFonts w:eastAsia="Arial"/>
          <w:color w:val="000000"/>
          <w:sz w:val="24"/>
          <w:szCs w:val="24"/>
        </w:rPr>
      </w:pPr>
      <w:r>
        <w:rPr>
          <w:rFonts w:eastAsia="Arial"/>
          <w:b/>
          <w:color w:val="000000"/>
          <w:sz w:val="24"/>
          <w:szCs w:val="24"/>
        </w:rPr>
        <w:t xml:space="preserve">O(s) valor (es) revisado(s) será(ão) publicado(s)</w:t>
      </w:r>
      <w:r>
        <w:rPr>
          <w:rFonts w:eastAsia="Arial"/>
          <w:color w:val="000000"/>
          <w:sz w:val="24"/>
          <w:szCs w:val="24"/>
        </w:rPr>
        <w:t xml:space="preserve"> no Informativo Oficial do Município de Rio das Flores.</w:t>
      </w:r>
      <w:r>
        <w:rPr>
          <w:rFonts w:eastAsia="Arial"/>
          <w:color w:val="000000"/>
          <w:sz w:val="24"/>
          <w:szCs w:val="24"/>
        </w:rPr>
      </w:r>
    </w:p>
    <w:p>
      <w:pPr>
        <w:pStyle w:val="1056"/>
        <w:numPr>
          <w:ilvl w:val="0"/>
          <w:numId w:val="18"/>
        </w:numPr>
        <w:pBdr/>
        <w:tabs>
          <w:tab w:val="left" w:leader="none" w:pos="0"/>
          <w:tab w:val="left" w:leader="none" w:pos="284"/>
          <w:tab w:val="left" w:leader="none" w:pos="567"/>
          <w:tab w:val="clear" w:leader="none" w:pos="720"/>
          <w:tab w:val="left" w:leader="none" w:pos="851"/>
        </w:tabs>
        <w:spacing w:after="240" w:before="120"/>
        <w:ind w:firstLine="0" w:left="0"/>
        <w:rPr>
          <w:rFonts w:eastAsia="Arial"/>
          <w:b/>
          <w:color w:val="000000"/>
          <w:sz w:val="24"/>
          <w:szCs w:val="24"/>
          <w:u w:val="single"/>
        </w:rPr>
      </w:pPr>
      <w:r>
        <w:rPr>
          <w:rFonts w:eastAsia="Arial"/>
          <w:b/>
          <w:color w:val="000000"/>
          <w:sz w:val="24"/>
          <w:szCs w:val="24"/>
          <w:u w:val="single"/>
        </w:rPr>
        <w:t xml:space="preserve">DO PAGAMENTO:</w:t>
      </w:r>
      <w:r>
        <w:rPr>
          <w:rFonts w:eastAsia="Arial"/>
          <w:b/>
          <w:color w:val="000000"/>
          <w:sz w:val="24"/>
          <w:szCs w:val="24"/>
          <w:u w:val="single"/>
        </w:rPr>
      </w:r>
    </w:p>
    <w:p>
      <w:pPr>
        <w:pStyle w:val="1056"/>
        <w:numPr>
          <w:ilvl w:val="1"/>
          <w:numId w:val="18"/>
        </w:numPr>
        <w:pBdr/>
        <w:tabs>
          <w:tab w:val="left" w:leader="none" w:pos="0"/>
          <w:tab w:val="left" w:leader="none" w:pos="284"/>
          <w:tab w:val="left" w:leader="none" w:pos="567"/>
          <w:tab w:val="clear" w:leader="none" w:pos="720"/>
          <w:tab w:val="left" w:leader="none" w:pos="851"/>
        </w:tabs>
        <w:spacing w:after="240" w:before="120"/>
        <w:ind w:firstLine="0" w:left="0"/>
        <w:rPr>
          <w:rFonts w:eastAsia="Arial"/>
          <w:b/>
          <w:color w:val="000000"/>
          <w:sz w:val="24"/>
          <w:szCs w:val="24"/>
        </w:rPr>
      </w:pPr>
      <w:r>
        <w:rPr>
          <w:rFonts w:eastAsia="Arial"/>
          <w:b/>
          <w:color w:val="000000"/>
          <w:sz w:val="24"/>
          <w:szCs w:val="24"/>
        </w:rPr>
        <w:t xml:space="preserve">Prazo de pagamento não superior a 30 (trinta) dias, contado a partir da data final do período de adimplemento de cada parcela;</w:t>
      </w:r>
      <w:r>
        <w:rPr>
          <w:rFonts w:eastAsia="Arial"/>
          <w:b/>
          <w:color w:val="000000"/>
          <w:sz w:val="24"/>
          <w:szCs w:val="24"/>
        </w:rPr>
      </w:r>
    </w:p>
    <w:p>
      <w:pPr>
        <w:pStyle w:val="1056"/>
        <w:numPr>
          <w:ilvl w:val="1"/>
          <w:numId w:val="18"/>
        </w:numPr>
        <w:pBdr/>
        <w:tabs>
          <w:tab w:val="left" w:leader="none" w:pos="0"/>
          <w:tab w:val="left" w:leader="none" w:pos="284"/>
          <w:tab w:val="left" w:leader="none" w:pos="567"/>
          <w:tab w:val="clear" w:leader="none" w:pos="720"/>
          <w:tab w:val="left" w:leader="none" w:pos="851"/>
        </w:tabs>
        <w:spacing w:after="240" w:before="120"/>
        <w:ind w:firstLine="0" w:left="0"/>
        <w:rPr>
          <w:rFonts w:eastAsia="Arial"/>
          <w:b/>
          <w:color w:val="000000"/>
          <w:sz w:val="24"/>
          <w:szCs w:val="24"/>
        </w:rPr>
      </w:pPr>
      <w:r>
        <w:rPr>
          <w:rFonts w:eastAsia="Arial"/>
          <w:b/>
          <w:color w:val="000000"/>
          <w:sz w:val="24"/>
          <w:szCs w:val="24"/>
        </w:rPr>
        <w:t xml:space="preserve">O Pagamento será efetuado em até 30 (trinta) dias após a liquidação da Nota Fiscal</w:t>
      </w:r>
      <w:r>
        <w:rPr>
          <w:rFonts w:eastAsia="Arial"/>
          <w:color w:val="000000"/>
          <w:sz w:val="24"/>
          <w:szCs w:val="24"/>
        </w:rPr>
        <w:t xml:space="preserve">, que deverá ser emitida em conformidade com o que det</w:t>
      </w:r>
      <w:r>
        <w:rPr>
          <w:rFonts w:eastAsia="Arial"/>
          <w:color w:val="000000"/>
          <w:sz w:val="24"/>
          <w:szCs w:val="24"/>
        </w:rPr>
        <w:t xml:space="preserve">erminam os Protocolo ICMS 42/2009 e Protocolo ICMS 194/2010 (Exigência de Nota Fiscal para fornecer ao Serviço Público) e suas posteriores alterações, em nome do(s) adjudicatário(s), desde que não ocorra nenhuma divergência no tocante a fase de liquidação;</w:t>
      </w:r>
      <w:r>
        <w:rPr>
          <w:rFonts w:eastAsia="Arial"/>
          <w:b/>
          <w:color w:val="000000"/>
          <w:sz w:val="24"/>
          <w:szCs w:val="24"/>
        </w:rPr>
      </w:r>
    </w:p>
    <w:p>
      <w:pPr>
        <w:pStyle w:val="1056"/>
        <w:numPr>
          <w:ilvl w:val="1"/>
          <w:numId w:val="18"/>
        </w:numPr>
        <w:pBdr/>
        <w:tabs>
          <w:tab w:val="left" w:leader="none" w:pos="0"/>
          <w:tab w:val="left" w:leader="none" w:pos="284"/>
          <w:tab w:val="left" w:leader="none" w:pos="567"/>
          <w:tab w:val="clear" w:leader="none" w:pos="720"/>
          <w:tab w:val="left" w:leader="none" w:pos="851"/>
        </w:tabs>
        <w:spacing w:after="240" w:before="120"/>
        <w:ind w:firstLine="0" w:left="0"/>
        <w:rPr>
          <w:rFonts w:eastAsia="Arial"/>
          <w:b/>
          <w:color w:val="000000"/>
          <w:sz w:val="24"/>
          <w:szCs w:val="24"/>
        </w:rPr>
      </w:pPr>
      <w:r>
        <w:rPr>
          <w:rFonts w:eastAsia="Arial"/>
          <w:color w:val="000000"/>
          <w:sz w:val="24"/>
          <w:szCs w:val="24"/>
        </w:rPr>
        <w:t xml:space="preserve">Não será efetuado qualquer pagamento ao(s) ADJUDICATÁRIO(S) enquanto houver pendência(s) de liquidação da obrigação financeira em virtude de penalidade ou inadimplência contratual;</w:t>
      </w:r>
      <w:r>
        <w:rPr>
          <w:rFonts w:eastAsia="Arial"/>
          <w:b/>
          <w:color w:val="000000"/>
          <w:sz w:val="24"/>
          <w:szCs w:val="24"/>
        </w:rPr>
      </w:r>
    </w:p>
    <w:p>
      <w:pPr>
        <w:pStyle w:val="1056"/>
        <w:numPr>
          <w:ilvl w:val="1"/>
          <w:numId w:val="18"/>
        </w:numPr>
        <w:pBdr/>
        <w:tabs>
          <w:tab w:val="left" w:leader="none" w:pos="0"/>
          <w:tab w:val="left" w:leader="none" w:pos="284"/>
          <w:tab w:val="left" w:leader="none" w:pos="567"/>
          <w:tab w:val="clear" w:leader="none" w:pos="720"/>
          <w:tab w:val="left" w:leader="none" w:pos="851"/>
        </w:tabs>
        <w:spacing w:after="240" w:before="120"/>
        <w:ind w:firstLine="0" w:left="0"/>
        <w:rPr>
          <w:rFonts w:eastAsia="Arial"/>
          <w:b/>
          <w:color w:val="000000"/>
          <w:sz w:val="24"/>
          <w:szCs w:val="24"/>
        </w:rPr>
      </w:pPr>
      <w:r>
        <w:rPr>
          <w:rFonts w:eastAsia="Arial"/>
          <w:color w:val="000000"/>
          <w:sz w:val="24"/>
          <w:szCs w:val="24"/>
        </w:rPr>
        <w:t xml:space="preserve">No caso de incorreção dos dados constantes na Nota Fiscal, serão estas restituídas à(s) ADJUDICATÁRIA(S), para a(s) correção (os) solicitada(s), não respondendo o </w:t>
      </w:r>
      <w:r>
        <w:rPr>
          <w:rFonts w:eastAsia="Arial"/>
          <w:b/>
          <w:color w:val="000000"/>
          <w:sz w:val="24"/>
          <w:szCs w:val="24"/>
        </w:rPr>
        <w:t xml:space="preserve">MUNICÍPIO DE RIO DAS FLÔRES/RJ – PREFEITURA MUNICIPAL DE RIO DAS FLÔRES,</w:t>
      </w:r>
      <w:r>
        <w:rPr>
          <w:rFonts w:eastAsia="Arial"/>
          <w:color w:val="000000"/>
          <w:sz w:val="24"/>
          <w:szCs w:val="24"/>
        </w:rPr>
        <w:t xml:space="preserve"> por quaisquer encargos(s) resultante(s) de atraso(s) na liquidação do(s) pagamento(s) correspondente(s);</w:t>
      </w:r>
      <w:r>
        <w:rPr>
          <w:rFonts w:eastAsia="Arial"/>
          <w:b/>
          <w:color w:val="000000"/>
          <w:sz w:val="24"/>
          <w:szCs w:val="24"/>
        </w:rPr>
      </w:r>
    </w:p>
    <w:p>
      <w:pPr>
        <w:pStyle w:val="1056"/>
        <w:numPr>
          <w:ilvl w:val="1"/>
          <w:numId w:val="18"/>
        </w:numPr>
        <w:pBdr/>
        <w:tabs>
          <w:tab w:val="left" w:leader="none" w:pos="0"/>
          <w:tab w:val="left" w:leader="none" w:pos="284"/>
          <w:tab w:val="left" w:leader="none" w:pos="567"/>
          <w:tab w:val="clear" w:leader="none" w:pos="720"/>
          <w:tab w:val="left" w:leader="none" w:pos="851"/>
        </w:tabs>
        <w:spacing w:after="240" w:before="120"/>
        <w:ind w:firstLine="0" w:left="0"/>
        <w:rPr>
          <w:rFonts w:eastAsia="Arial"/>
          <w:b/>
          <w:color w:val="000000"/>
          <w:sz w:val="24"/>
          <w:szCs w:val="24"/>
        </w:rPr>
      </w:pPr>
      <w:r>
        <w:rPr>
          <w:rFonts w:eastAsia="Arial"/>
          <w:color w:val="000000"/>
          <w:sz w:val="24"/>
          <w:szCs w:val="24"/>
        </w:rPr>
        <w:t xml:space="preserve">Não será efetuado qualquer pagamento ao(s) ADJUDICATÁRIO(S) que não atenda as exigências do Protocolo ICMS 42/2009 e suas posteriores alterações (Nota Fiscal deverá ser Eletrônica);</w:t>
      </w:r>
      <w:r>
        <w:rPr>
          <w:rFonts w:eastAsia="Arial"/>
          <w:b/>
          <w:color w:val="000000"/>
          <w:sz w:val="24"/>
          <w:szCs w:val="24"/>
        </w:rPr>
      </w:r>
    </w:p>
    <w:p>
      <w:pPr>
        <w:pStyle w:val="1056"/>
        <w:numPr>
          <w:ilvl w:val="1"/>
          <w:numId w:val="18"/>
        </w:numPr>
        <w:pBdr/>
        <w:tabs>
          <w:tab w:val="left" w:leader="none" w:pos="0"/>
          <w:tab w:val="left" w:leader="none" w:pos="284"/>
          <w:tab w:val="left" w:leader="none" w:pos="567"/>
          <w:tab w:val="clear" w:leader="none" w:pos="720"/>
          <w:tab w:val="left" w:leader="none" w:pos="851"/>
        </w:tabs>
        <w:spacing w:after="240" w:before="120"/>
        <w:ind w:firstLine="0" w:left="0"/>
        <w:rPr>
          <w:rFonts w:eastAsia="Arial"/>
          <w:b/>
          <w:color w:val="000000"/>
          <w:sz w:val="24"/>
          <w:szCs w:val="24"/>
        </w:rPr>
      </w:pPr>
      <w:r>
        <w:rPr>
          <w:rFonts w:eastAsia="Arial"/>
          <w:color w:val="000000"/>
          <w:sz w:val="24"/>
          <w:szCs w:val="24"/>
        </w:rPr>
        <w:t xml:space="preserve">Para os Prestadores de </w:t>
      </w:r>
      <w:r>
        <w:rPr>
          <w:rFonts w:eastAsia="Arial"/>
          <w:color w:val="000000"/>
          <w:sz w:val="24"/>
          <w:szCs w:val="24"/>
        </w:rPr>
        <w:t xml:space="preserve">Serviços, cujo Município de sua sede, não faça emissão de Nota Fiscal Eletrônica (NF-e), deverá ser entregue junto a Nota Fiscal (modelo A ou A-1) um documento da Prefeitura Municipal declarando não possuir os serviços de emissão da Nota Fiscal Eletrônica.</w:t>
      </w:r>
      <w:r>
        <w:rPr>
          <w:rFonts w:eastAsia="Arial"/>
          <w:b/>
          <w:color w:val="000000"/>
          <w:sz w:val="24"/>
          <w:szCs w:val="24"/>
        </w:rPr>
      </w:r>
    </w:p>
    <w:p>
      <w:pPr>
        <w:pStyle w:val="1056"/>
        <w:numPr>
          <w:ilvl w:val="0"/>
          <w:numId w:val="18"/>
        </w:numPr>
        <w:pBdr/>
        <w:tabs>
          <w:tab w:val="left" w:leader="none" w:pos="567"/>
          <w:tab w:val="clear" w:leader="none" w:pos="720"/>
          <w:tab w:val="left" w:leader="none" w:pos="851"/>
        </w:tabs>
        <w:spacing w:after="0" w:before="120"/>
        <w:ind w:firstLine="0" w:left="0"/>
        <w:rPr>
          <w:rFonts w:eastAsia="Arial"/>
          <w:b/>
          <w:color w:val="000000"/>
          <w:sz w:val="24"/>
          <w:szCs w:val="24"/>
          <w:u w:val="single"/>
        </w:rPr>
      </w:pPr>
      <w:r/>
      <w:bookmarkStart w:id="55" w:name="bookmark=id.1egqt2p"/>
      <w:r/>
      <w:bookmarkEnd w:id="55"/>
      <w:r>
        <w:rPr>
          <w:rFonts w:eastAsia="Arial"/>
          <w:b/>
          <w:color w:val="000000"/>
          <w:sz w:val="24"/>
          <w:szCs w:val="24"/>
          <w:u w:val="single"/>
        </w:rPr>
        <w:t xml:space="preserve">CRITÉRIO DE ATUALIZAÇÃO FINANCEIRA DOS VALORES A SEREM PAGOS, DESDE A DATA FINAL DO PERÍODO DE ADIMPLEMENTO DE CADA PARCELA ATÉ A DATA DO EFETIVO PAGAMENTO:</w:t>
      </w:r>
      <w:r>
        <w:rPr>
          <w:rFonts w:eastAsia="Arial"/>
          <w:b/>
          <w:color w:val="000000"/>
          <w:sz w:val="24"/>
          <w:szCs w:val="24"/>
          <w:u w:val="single"/>
        </w:rPr>
      </w:r>
    </w:p>
    <w:p>
      <w:pPr>
        <w:pStyle w:val="1056"/>
        <w:pBdr/>
        <w:tabs>
          <w:tab w:val="clear" w:leader="none" w:pos="720"/>
          <w:tab w:val="left" w:leader="none" w:pos="851"/>
        </w:tabs>
        <w:spacing w:after="0" w:before="0"/>
        <w:ind/>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p>
    <w:p>
      <w:pPr>
        <w:pStyle w:val="1056"/>
        <w:numPr>
          <w:ilvl w:val="1"/>
          <w:numId w:val="18"/>
        </w:numPr>
        <w:pBdr/>
        <w:tabs>
          <w:tab w:val="left" w:leader="none" w:pos="426"/>
          <w:tab w:val="left" w:leader="none" w:pos="709"/>
          <w:tab w:val="clear" w:leader="none" w:pos="720"/>
          <w:tab w:val="left" w:leader="none" w:pos="993"/>
        </w:tabs>
        <w:spacing w:after="240" w:before="0"/>
        <w:ind w:firstLine="0" w:left="0"/>
        <w:rPr>
          <w:rFonts w:eastAsia="Arial"/>
          <w:color w:val="000000"/>
          <w:sz w:val="24"/>
          <w:szCs w:val="24"/>
          <w:u w:val="single"/>
        </w:rPr>
      </w:pPr>
      <w:r>
        <w:rPr>
          <w:rFonts w:eastAsia="Arial"/>
          <w:b/>
          <w:color w:val="000000"/>
          <w:sz w:val="24"/>
          <w:szCs w:val="24"/>
        </w:rPr>
        <w:t xml:space="preserve">Compensações financeiras e penalizações, por eventuais atrasos e descontos, por eventuais antecipações de pagamentos: </w:t>
      </w:r>
      <w:r>
        <w:rPr>
          <w:rFonts w:eastAsia="Arial"/>
          <w:color w:val="000000"/>
          <w:sz w:val="24"/>
          <w:szCs w:val="24"/>
          <w:u w:val="single"/>
        </w:rPr>
      </w:r>
    </w:p>
    <w:p>
      <w:pPr>
        <w:pStyle w:val="1056"/>
        <w:numPr>
          <w:ilvl w:val="2"/>
          <w:numId w:val="18"/>
        </w:numPr>
        <w:pBdr/>
        <w:tabs>
          <w:tab w:val="left" w:leader="none" w:pos="426"/>
          <w:tab w:val="clear" w:leader="none" w:pos="720"/>
          <w:tab w:val="left" w:leader="none" w:pos="851"/>
          <w:tab w:val="left" w:leader="none" w:pos="993"/>
        </w:tabs>
        <w:spacing w:after="240" w:before="120"/>
        <w:ind w:firstLine="0" w:left="0"/>
        <w:rPr>
          <w:rFonts w:eastAsia="Arial"/>
          <w:color w:val="000000"/>
          <w:sz w:val="24"/>
          <w:szCs w:val="24"/>
          <w:u w:val="single"/>
        </w:rPr>
      </w:pPr>
      <w:r>
        <w:rPr>
          <w:rFonts w:eastAsia="Arial"/>
          <w:color w:val="000000"/>
          <w:sz w:val="24"/>
          <w:szCs w:val="24"/>
        </w:rPr>
        <w:t xml:space="preserve">Em caso de atraso de</w:t>
      </w:r>
      <w:r>
        <w:rPr>
          <w:rFonts w:eastAsia="Arial"/>
          <w:color w:val="000000"/>
          <w:sz w:val="24"/>
          <w:szCs w:val="24"/>
        </w:rPr>
        <w:t xml:space="preserve"> pagamento, motivado pela Prefeitura Municipal de Rio das Flôres, o valor a ser pago será atualizado financeiramente desde a data prevista para o pagamento até a do efetivo pagamento, tendo como base o Índice Nacional de Preços ao Consumidor Amplo (IPCA), </w:t>
      </w:r>
      <w:r>
        <w:rPr>
          <w:rFonts w:eastAsia="Arial"/>
          <w:i/>
          <w:color w:val="000000"/>
          <w:sz w:val="24"/>
          <w:szCs w:val="24"/>
        </w:rPr>
        <w:t xml:space="preserve">pro rata tempore, mediante a aplicação da seguinte fórmula:</w:t>
      </w:r>
      <w:r>
        <w:rPr>
          <w:rFonts w:eastAsia="Arial"/>
          <w:color w:val="000000"/>
          <w:sz w:val="24"/>
          <w:szCs w:val="24"/>
          <w:u w:val="single"/>
        </w:rPr>
      </w:r>
    </w:p>
    <w:p>
      <w:pPr>
        <w:pStyle w:val="1056"/>
        <w:pBdr/>
        <w:tabs>
          <w:tab w:val="clear" w:leader="none" w:pos="720"/>
          <w:tab w:val="left" w:leader="none" w:pos="851"/>
        </w:tabs>
        <w:spacing w:after="240" w:before="120"/>
        <w:ind/>
        <w:jc w:val="center"/>
        <w:rPr>
          <w:rFonts w:eastAsia="Arial"/>
          <w:b/>
          <w:color w:val="000000"/>
          <w:sz w:val="24"/>
          <w:szCs w:val="24"/>
        </w:rPr>
      </w:pPr>
      <w:r>
        <w:rPr>
          <w:rFonts w:eastAsia="Arial"/>
          <w:b/>
          <w:color w:val="000000"/>
          <w:sz w:val="24"/>
          <w:szCs w:val="24"/>
        </w:rPr>
        <w:t xml:space="preserve">AF = [(1+IPCA/100) </w:t>
      </w:r>
      <w:r>
        <w:rPr>
          <w:rFonts w:eastAsia="Arial"/>
          <w:b/>
          <w:color w:val="000000"/>
          <w:sz w:val="24"/>
          <w:szCs w:val="24"/>
          <w:vertAlign w:val="superscript"/>
        </w:rPr>
        <w:t xml:space="preserve">N/30</w:t>
      </w:r>
      <w:r>
        <w:rPr>
          <w:rFonts w:eastAsia="Arial"/>
          <w:b/>
          <w:color w:val="000000"/>
          <w:sz w:val="24"/>
          <w:szCs w:val="24"/>
        </w:rPr>
        <w:t xml:space="preserve"> – 1] X VP</w:t>
      </w:r>
      <w:r>
        <w:rPr>
          <w:rFonts w:eastAsia="Arial"/>
          <w:b/>
          <w:color w:val="000000"/>
          <w:sz w:val="24"/>
          <w:szCs w:val="24"/>
        </w:rPr>
      </w:r>
    </w:p>
    <w:p>
      <w:pPr>
        <w:pStyle w:val="1056"/>
        <w:pBdr/>
        <w:tabs>
          <w:tab w:val="clear" w:leader="none" w:pos="720"/>
          <w:tab w:val="left" w:leader="none" w:pos="851"/>
        </w:tabs>
        <w:spacing w:after="240" w:before="120"/>
        <w:ind/>
        <w:rPr>
          <w:rFonts w:eastAsia="Arial"/>
          <w:color w:val="000000"/>
          <w:sz w:val="24"/>
          <w:szCs w:val="24"/>
        </w:rPr>
      </w:pPr>
      <w:r>
        <w:rPr>
          <w:rFonts w:eastAsia="Arial"/>
          <w:color w:val="000000"/>
          <w:sz w:val="24"/>
          <w:szCs w:val="24"/>
        </w:rPr>
        <w:t xml:space="preserve">Onde:</w:t>
      </w:r>
      <w:r>
        <w:rPr>
          <w:rFonts w:eastAsia="Arial"/>
          <w:color w:val="000000"/>
          <w:sz w:val="24"/>
          <w:szCs w:val="24"/>
        </w:rPr>
      </w:r>
    </w:p>
    <w:p>
      <w:pPr>
        <w:pStyle w:val="1056"/>
        <w:pBdr/>
        <w:tabs>
          <w:tab w:val="clear" w:leader="none" w:pos="720"/>
          <w:tab w:val="left" w:leader="none" w:pos="851"/>
        </w:tabs>
        <w:spacing w:after="240" w:before="120"/>
        <w:ind/>
        <w:rPr>
          <w:rFonts w:eastAsia="Arial"/>
          <w:color w:val="000000"/>
          <w:sz w:val="24"/>
          <w:szCs w:val="24"/>
        </w:rPr>
      </w:pPr>
      <w:r>
        <w:rPr>
          <w:rFonts w:eastAsia="Arial"/>
          <w:b/>
          <w:color w:val="000000"/>
          <w:sz w:val="24"/>
          <w:szCs w:val="24"/>
        </w:rPr>
        <w:t xml:space="preserve">AF</w:t>
      </w:r>
      <w:r>
        <w:rPr>
          <w:rFonts w:eastAsia="Arial"/>
          <w:color w:val="000000"/>
          <w:sz w:val="24"/>
          <w:szCs w:val="24"/>
        </w:rPr>
        <w:t xml:space="preserve"> = Atualização Financeira;</w:t>
      </w:r>
      <w:r>
        <w:rPr>
          <w:rFonts w:eastAsia="Arial"/>
          <w:color w:val="000000"/>
          <w:sz w:val="24"/>
          <w:szCs w:val="24"/>
        </w:rPr>
      </w:r>
    </w:p>
    <w:p>
      <w:pPr>
        <w:pStyle w:val="1056"/>
        <w:pBdr/>
        <w:tabs>
          <w:tab w:val="clear" w:leader="none" w:pos="720"/>
          <w:tab w:val="left" w:leader="none" w:pos="851"/>
        </w:tabs>
        <w:spacing w:after="240" w:before="120"/>
        <w:ind/>
        <w:rPr>
          <w:rFonts w:eastAsia="Arial"/>
          <w:color w:val="000000"/>
          <w:sz w:val="24"/>
          <w:szCs w:val="24"/>
        </w:rPr>
      </w:pPr>
      <w:r>
        <w:rPr>
          <w:rFonts w:eastAsia="Arial"/>
          <w:b/>
          <w:color w:val="000000"/>
          <w:sz w:val="24"/>
          <w:szCs w:val="24"/>
        </w:rPr>
        <w:t xml:space="preserve">IPCA</w:t>
      </w:r>
      <w:r>
        <w:rPr>
          <w:rFonts w:eastAsia="Arial"/>
          <w:color w:val="000000"/>
          <w:sz w:val="24"/>
          <w:szCs w:val="24"/>
        </w:rPr>
        <w:t xml:space="preserve"> = Índice Nacional de Preços ao Consumidor Amplo;</w:t>
      </w:r>
      <w:r>
        <w:rPr>
          <w:rFonts w:eastAsia="Arial"/>
          <w:color w:val="000000"/>
          <w:sz w:val="24"/>
          <w:szCs w:val="24"/>
        </w:rPr>
      </w:r>
    </w:p>
    <w:p>
      <w:pPr>
        <w:pStyle w:val="1056"/>
        <w:pBdr/>
        <w:tabs>
          <w:tab w:val="clear" w:leader="none" w:pos="720"/>
          <w:tab w:val="left" w:leader="none" w:pos="851"/>
        </w:tabs>
        <w:spacing w:after="240" w:before="120"/>
        <w:ind/>
        <w:rPr>
          <w:rFonts w:eastAsia="Arial"/>
          <w:color w:val="000000"/>
          <w:sz w:val="24"/>
          <w:szCs w:val="24"/>
        </w:rPr>
      </w:pPr>
      <w:r>
        <w:rPr>
          <w:rFonts w:eastAsia="Arial"/>
          <w:b/>
          <w:color w:val="000000"/>
          <w:sz w:val="24"/>
          <w:szCs w:val="24"/>
        </w:rPr>
        <w:t xml:space="preserve">N</w:t>
      </w:r>
      <w:r>
        <w:rPr>
          <w:rFonts w:eastAsia="Arial"/>
          <w:color w:val="000000"/>
          <w:sz w:val="24"/>
          <w:szCs w:val="24"/>
        </w:rPr>
        <w:t xml:space="preserve"> = Número de dias entre a data prevista para o pagamento e a do efetivo pagamento;</w:t>
      </w:r>
      <w:r>
        <w:rPr>
          <w:rFonts w:eastAsia="Arial"/>
          <w:color w:val="000000"/>
          <w:sz w:val="24"/>
          <w:szCs w:val="24"/>
        </w:rPr>
      </w:r>
    </w:p>
    <w:p>
      <w:pPr>
        <w:pStyle w:val="1056"/>
        <w:pBdr/>
        <w:tabs>
          <w:tab w:val="clear" w:leader="none" w:pos="720"/>
          <w:tab w:val="left" w:leader="none" w:pos="851"/>
        </w:tabs>
        <w:spacing w:after="240" w:before="120"/>
        <w:ind/>
        <w:rPr>
          <w:rFonts w:eastAsia="Arial"/>
          <w:color w:val="000000"/>
          <w:sz w:val="24"/>
          <w:szCs w:val="24"/>
        </w:rPr>
      </w:pPr>
      <w:r>
        <w:rPr>
          <w:rFonts w:eastAsia="Arial"/>
          <w:b/>
          <w:color w:val="000000"/>
          <w:sz w:val="24"/>
          <w:szCs w:val="24"/>
        </w:rPr>
        <w:t xml:space="preserve">VP</w:t>
      </w:r>
      <w:r>
        <w:rPr>
          <w:rFonts w:eastAsia="Arial"/>
          <w:color w:val="000000"/>
          <w:sz w:val="24"/>
          <w:szCs w:val="24"/>
        </w:rPr>
        <w:t xml:space="preserve"> = Valor da Parcela a ser paga.</w:t>
      </w:r>
      <w:r>
        <w:rPr>
          <w:rFonts w:eastAsia="Arial"/>
          <w:color w:val="000000"/>
          <w:sz w:val="24"/>
          <w:szCs w:val="24"/>
        </w:rPr>
      </w:r>
    </w:p>
    <w:p>
      <w:pPr>
        <w:pStyle w:val="1056"/>
        <w:pBdr/>
        <w:spacing/>
        <w:ind/>
        <w:rPr>
          <w:sz w:val="24"/>
          <w:szCs w:val="24"/>
        </w:rPr>
      </w:pPr>
      <w:r>
        <w:rPr>
          <w:sz w:val="24"/>
          <w:szCs w:val="24"/>
        </w:rPr>
      </w:r>
      <w:r>
        <w:rPr>
          <w:sz w:val="24"/>
          <w:szCs w:val="24"/>
        </w:rPr>
      </w:r>
    </w:p>
    <w:p>
      <w:pPr>
        <w:pStyle w:val="1056"/>
        <w:numPr>
          <w:ilvl w:val="0"/>
          <w:numId w:val="18"/>
        </w:numPr>
        <w:pBdr/>
        <w:tabs>
          <w:tab w:val="left" w:leader="none" w:pos="567"/>
          <w:tab w:val="clear" w:leader="none" w:pos="720"/>
          <w:tab w:val="left" w:leader="none" w:pos="851"/>
        </w:tabs>
        <w:spacing w:after="240" w:before="120"/>
        <w:ind w:firstLine="0" w:left="0"/>
        <w:rPr>
          <w:rFonts w:eastAsia="Arial"/>
          <w:b/>
          <w:color w:val="000000"/>
          <w:sz w:val="24"/>
          <w:szCs w:val="24"/>
          <w:u w:val="single"/>
        </w:rPr>
      </w:pPr>
      <w:r/>
      <w:bookmarkStart w:id="56" w:name="bookmark=id.3ygebqi"/>
      <w:r/>
      <w:bookmarkEnd w:id="56"/>
      <w:r>
        <w:rPr>
          <w:rFonts w:eastAsia="Arial"/>
          <w:b/>
          <w:color w:val="000000"/>
          <w:sz w:val="24"/>
          <w:szCs w:val="24"/>
          <w:u w:val="single"/>
        </w:rPr>
        <w:t xml:space="preserve">DOS RECURSOS:</w:t>
      </w:r>
      <w:r>
        <w:rPr>
          <w:rFonts w:eastAsia="Arial"/>
          <w:b/>
          <w:color w:val="000000"/>
          <w:sz w:val="24"/>
          <w:szCs w:val="24"/>
          <w:u w:val="single"/>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interposição de recurso referente ao julgamento das propostas, à habilitação ou inabilitação de licitantes, à anulação ou revogação da licitação, observará o disposto no </w:t>
      </w:r>
      <w:r>
        <w:fldChar w:fldCharType="begin"/>
      </w:r>
      <w:r>
        <w:rPr>
          <w:rFonts w:eastAsia="Arial"/>
          <w:color w:val="000000"/>
          <w:sz w:val="24"/>
          <w:szCs w:val="24"/>
          <w:u w:val="single"/>
        </w:rPr>
        <w:instrText xml:space="preserve"> HYPERLINK "http://www.planalto.gov.br/ccivil_03/_ato2019-2022/2021/lei/L14133.htm" \l "art165"</w:instrText>
      </w:r>
      <w:r>
        <w:rPr>
          <w:rFonts w:eastAsia="Arial"/>
          <w:color w:val="000000"/>
          <w:sz w:val="24"/>
          <w:szCs w:val="24"/>
          <w:u w:val="single"/>
        </w:rPr>
        <w:fldChar w:fldCharType="separate"/>
      </w:r>
      <w:r>
        <w:rPr>
          <w:rFonts w:eastAsia="Arial"/>
          <w:color w:val="000000"/>
          <w:sz w:val="24"/>
          <w:szCs w:val="24"/>
          <w:u w:val="single"/>
        </w:rPr>
        <w:t xml:space="preserve">art. 165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prazo recursal é de </w:t>
      </w:r>
      <w:r>
        <w:rPr>
          <w:rFonts w:eastAsia="Arial"/>
          <w:b/>
          <w:color w:val="000000"/>
          <w:sz w:val="24"/>
          <w:szCs w:val="24"/>
        </w:rPr>
        <w:t xml:space="preserve">03 (três) dias úteis</w:t>
      </w:r>
      <w:r>
        <w:rPr>
          <w:rFonts w:eastAsia="Arial"/>
          <w:color w:val="000000"/>
          <w:sz w:val="24"/>
          <w:szCs w:val="24"/>
        </w:rPr>
        <w:t xml:space="preserve">, contados da data de intimação ou de lavratura da ata.</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Quando o recurso apresentado impugnar o julgamento das propostas ou o ato de habilitação ou inabilitação do licitante:</w:t>
      </w:r>
      <w:r>
        <w:rPr>
          <w:rFonts w:eastAsia="Arial"/>
          <w:color w:val="000000"/>
          <w:sz w:val="24"/>
          <w:szCs w:val="24"/>
        </w:rPr>
      </w:r>
    </w:p>
    <w:p>
      <w:pPr>
        <w:pStyle w:val="1056"/>
        <w:numPr>
          <w:ilvl w:val="2"/>
          <w:numId w:val="18"/>
        </w:numPr>
        <w:pBdr/>
        <w:tabs>
          <w:tab w:val="clear" w:leader="none" w:pos="720"/>
          <w:tab w:val="left" w:leader="none" w:pos="851"/>
        </w:tabs>
        <w:spacing w:line="276" w:lineRule="auto"/>
        <w:ind w:firstLine="0" w:left="0"/>
        <w:rPr>
          <w:rFonts w:eastAsia="Arial"/>
          <w:color w:val="000000"/>
          <w:sz w:val="24"/>
          <w:szCs w:val="24"/>
        </w:rPr>
      </w:pPr>
      <w:r>
        <w:rPr>
          <w:rFonts w:eastAsia="Arial"/>
          <w:color w:val="000000"/>
          <w:sz w:val="24"/>
          <w:szCs w:val="24"/>
        </w:rPr>
        <w:t xml:space="preserve">a intenção de recorrer deverá ser manifestada imediatamente, sob pena de preclusão;</w:t>
      </w:r>
      <w:r>
        <w:rPr>
          <w:rFonts w:eastAsia="Arial"/>
          <w:color w:val="000000"/>
          <w:sz w:val="24"/>
          <w:szCs w:val="24"/>
        </w:rPr>
      </w:r>
    </w:p>
    <w:p>
      <w:pPr>
        <w:pStyle w:val="1056"/>
        <w:numPr>
          <w:ilvl w:val="2"/>
          <w:numId w:val="18"/>
        </w:numPr>
        <w:pBdr/>
        <w:tabs>
          <w:tab w:val="clear" w:leader="none" w:pos="720"/>
          <w:tab w:val="left" w:leader="none" w:pos="851"/>
        </w:tabs>
        <w:spacing w:line="276" w:lineRule="auto"/>
        <w:ind w:firstLine="0" w:left="0"/>
        <w:rPr>
          <w:rFonts w:eastAsia="Arial"/>
          <w:color w:val="000000"/>
          <w:sz w:val="24"/>
          <w:szCs w:val="24"/>
        </w:rPr>
      </w:pPr>
      <w:r/>
      <w:bookmarkStart w:id="57" w:name="_heading=h.2dlolyb"/>
      <w:r/>
      <w:bookmarkEnd w:id="57"/>
      <w:r>
        <w:rPr>
          <w:rFonts w:eastAsia="Arial"/>
          <w:color w:val="000000"/>
          <w:sz w:val="24"/>
          <w:szCs w:val="24"/>
        </w:rPr>
        <w:t xml:space="preserve">o prazo para a manifestação da intenção de recorrer </w:t>
      </w:r>
      <w:r>
        <w:rPr>
          <w:rFonts w:eastAsia="Arial"/>
          <w:b/>
          <w:color w:val="000000"/>
          <w:sz w:val="24"/>
          <w:szCs w:val="24"/>
        </w:rPr>
        <w:t xml:space="preserve">não será inferior a 10 (dez) minutos</w:t>
      </w:r>
      <w:r>
        <w:rPr>
          <w:rFonts w:eastAsia="Arial"/>
          <w:color w:val="000000"/>
          <w:sz w:val="24"/>
          <w:szCs w:val="24"/>
        </w:rPr>
        <w:t xml:space="preserve">.</w:t>
      </w:r>
      <w:r>
        <w:rPr>
          <w:rFonts w:eastAsia="Arial"/>
          <w:color w:val="000000"/>
          <w:sz w:val="24"/>
          <w:szCs w:val="24"/>
        </w:rPr>
      </w:r>
    </w:p>
    <w:p>
      <w:pPr>
        <w:pStyle w:val="1056"/>
        <w:numPr>
          <w:ilvl w:val="2"/>
          <w:numId w:val="18"/>
        </w:numPr>
        <w:pBdr/>
        <w:tabs>
          <w:tab w:val="clear" w:leader="none" w:pos="720"/>
          <w:tab w:val="left" w:leader="none" w:pos="851"/>
        </w:tabs>
        <w:spacing w:line="276" w:lineRule="auto"/>
        <w:ind w:firstLine="0" w:left="0"/>
        <w:rPr>
          <w:rFonts w:eastAsia="Arial"/>
          <w:color w:val="000000"/>
          <w:sz w:val="24"/>
          <w:szCs w:val="24"/>
        </w:rPr>
      </w:pPr>
      <w:r>
        <w:rPr>
          <w:rFonts w:eastAsia="Arial"/>
          <w:color w:val="000000"/>
          <w:sz w:val="24"/>
          <w:szCs w:val="24"/>
        </w:rPr>
        <w:t xml:space="preserve">o prazo para apresentação das razões recursais será iniciado na data de intimação ou de lavratura da ata de habilitação ou inabilitação;</w:t>
      </w:r>
      <w:r>
        <w:rPr>
          <w:rFonts w:eastAsia="Arial"/>
          <w:color w:val="000000"/>
          <w:sz w:val="24"/>
          <w:szCs w:val="24"/>
        </w:rPr>
      </w:r>
    </w:p>
    <w:p>
      <w:pPr>
        <w:pStyle w:val="1056"/>
        <w:numPr>
          <w:ilvl w:val="2"/>
          <w:numId w:val="18"/>
        </w:numPr>
        <w:pBdr/>
        <w:tabs>
          <w:tab w:val="clear" w:leader="none" w:pos="720"/>
          <w:tab w:val="left" w:leader="none" w:pos="851"/>
        </w:tabs>
        <w:spacing w:line="276" w:lineRule="auto"/>
        <w:ind w:firstLine="0" w:left="0"/>
        <w:rPr>
          <w:rFonts w:eastAsia="Arial"/>
          <w:color w:val="000000"/>
          <w:sz w:val="24"/>
          <w:szCs w:val="24"/>
        </w:rPr>
      </w:pPr>
      <w:r>
        <w:rPr>
          <w:rFonts w:eastAsia="Arial"/>
          <w:color w:val="000000"/>
          <w:sz w:val="24"/>
          <w:szCs w:val="24"/>
        </w:rPr>
        <w:t xml:space="preserve">na hipótese de adoção da inversão de fases prevista no </w:t>
      </w:r>
      <w:r>
        <w:fldChar w:fldCharType="begin"/>
      </w:r>
      <w:r>
        <w:rPr>
          <w:rFonts w:eastAsia="Arial"/>
          <w:color w:val="000000"/>
          <w:sz w:val="24"/>
          <w:szCs w:val="24"/>
          <w:u w:val="single"/>
        </w:rPr>
        <w:instrText xml:space="preserve"> HYPERLINK "http://www.planalto.gov.br/ccivil_03/_ato2019-2022/2021/lei/L14133.htm" \l "art17%C2%A71"</w:instrText>
      </w:r>
      <w:r>
        <w:rPr>
          <w:rFonts w:eastAsia="Arial"/>
          <w:color w:val="000000"/>
          <w:sz w:val="24"/>
          <w:szCs w:val="24"/>
          <w:u w:val="single"/>
        </w:rPr>
        <w:fldChar w:fldCharType="separate"/>
      </w:r>
      <w:r>
        <w:rPr>
          <w:rFonts w:eastAsia="Arial"/>
          <w:color w:val="000000"/>
          <w:sz w:val="24"/>
          <w:szCs w:val="24"/>
          <w:u w:val="single"/>
        </w:rPr>
        <w:t xml:space="preserve">§ 1º do art. 17 da Lei nº 14.133, de 2021</w:t>
      </w:r>
      <w:r>
        <w:rPr>
          <w:rFonts w:eastAsia="Arial"/>
          <w:color w:val="000000"/>
          <w:sz w:val="24"/>
          <w:szCs w:val="24"/>
          <w:u w:val="single"/>
        </w:rPr>
        <w:fldChar w:fldCharType="end"/>
      </w:r>
      <w:r>
        <w:rPr>
          <w:rFonts w:eastAsia="Arial"/>
          <w:color w:val="000000"/>
          <w:sz w:val="24"/>
          <w:szCs w:val="24"/>
        </w:rPr>
        <w:t xml:space="preserve">, o prazo para apresentação das razões recursais será iniciado na data de intimação da ata de julgamento.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recursos deverão ser encaminhados em campo próprio do sistema.</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recurso será dirigido à autoridade que tiver editado o ato ou proferido a decisão recorrida, a qual poderá reconsiderar sua decisão no prazo de </w:t>
      </w:r>
      <w:r>
        <w:rPr>
          <w:rFonts w:eastAsia="Arial"/>
          <w:b/>
          <w:color w:val="000000"/>
          <w:sz w:val="24"/>
          <w:szCs w:val="24"/>
        </w:rPr>
        <w:t xml:space="preserve">03 (três) dias úteis</w:t>
      </w:r>
      <w:r>
        <w:rPr>
          <w:rFonts w:eastAsia="Arial"/>
          <w:color w:val="000000"/>
          <w:sz w:val="24"/>
          <w:szCs w:val="24"/>
        </w:rPr>
        <w:t xml:space="preserve">, ou, nesse mesmo prazo, encaminhar recurso para a autoridade superior, a qual deverá proferir sua decisão no prazo de </w:t>
      </w:r>
      <w:r>
        <w:rPr>
          <w:rFonts w:eastAsia="Arial"/>
          <w:b/>
          <w:color w:val="000000"/>
          <w:sz w:val="24"/>
          <w:szCs w:val="24"/>
        </w:rPr>
        <w:t xml:space="preserve">10 (dez) dias úteis</w:t>
      </w:r>
      <w:r>
        <w:rPr>
          <w:rFonts w:eastAsia="Arial"/>
          <w:color w:val="000000"/>
          <w:sz w:val="24"/>
          <w:szCs w:val="24"/>
        </w:rPr>
        <w:t xml:space="preserve">, contado do recebimento dos autos.</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recursos interpostos fora do prazo não serão conhecidos. </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prazo para apresentação de </w:t>
      </w:r>
      <w:r>
        <w:rPr>
          <w:rFonts w:eastAsia="Arial"/>
          <w:b/>
          <w:color w:val="000000"/>
          <w:sz w:val="24"/>
          <w:szCs w:val="24"/>
        </w:rPr>
        <w:t xml:space="preserve">contrarrazões</w:t>
      </w:r>
      <w:r>
        <w:rPr>
          <w:rFonts w:eastAsia="Arial"/>
          <w:color w:val="000000"/>
          <w:sz w:val="24"/>
          <w:szCs w:val="24"/>
        </w:rPr>
        <w:t xml:space="preserve"> ao recurso pelos demais licitantes será de </w:t>
      </w:r>
      <w:r>
        <w:rPr>
          <w:rFonts w:eastAsia="Arial"/>
          <w:b/>
          <w:color w:val="000000"/>
          <w:sz w:val="24"/>
          <w:szCs w:val="24"/>
        </w:rPr>
        <w:t xml:space="preserve">03 (três) dias úteis</w:t>
      </w:r>
      <w:r>
        <w:rPr>
          <w:rFonts w:eastAsia="Arial"/>
          <w:color w:val="000000"/>
          <w:sz w:val="24"/>
          <w:szCs w:val="24"/>
        </w:rPr>
        <w:t xml:space="preserve">, contados da data da intimação pessoal ou da divulgação da interposição do recurso, assegurada a vista imediata dos elementos indispensáveis à defesa de seus interesses.</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recurso e o pedido de reconsideração terão efeito suspensivo do ato ou da decisão recorrida até que sobrevenha decisão final da autoridade competente. </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acolhimento do recurso invalida tão somente os atos insuscetíveis de aproveitamento. </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autos do processo permanecerão com vista franqueada aos interessados no sítio eletrônico </w:t>
      </w:r>
      <w:hyperlink r:id="rId41" w:tooltip="http://www.riodasflores.rj.gov.br/" w:history="1">
        <w:r>
          <w:rPr>
            <w:rFonts w:eastAsia="Arial"/>
            <w:b/>
            <w:color w:val="000000"/>
            <w:sz w:val="24"/>
            <w:szCs w:val="24"/>
            <w:u w:val="single"/>
          </w:rPr>
          <w:t xml:space="preserve">www.riodasflores.rj.gov.br</w:t>
        </w:r>
      </w:hyperlink>
      <w:r>
        <w:rPr>
          <w:rFonts w:eastAsia="Arial"/>
          <w:color w:val="000000"/>
          <w:sz w:val="24"/>
          <w:szCs w:val="24"/>
        </w:rPr>
        <w:t xml:space="preserve">.</w:t>
      </w:r>
      <w:r>
        <w:rPr>
          <w:rFonts w:eastAsia="Arial"/>
          <w:color w:val="000000"/>
          <w:sz w:val="24"/>
          <w:szCs w:val="24"/>
        </w:rPr>
      </w:r>
    </w:p>
    <w:p>
      <w:pPr>
        <w:pStyle w:val="1056"/>
        <w:pBdr/>
        <w:tabs>
          <w:tab w:val="clear" w:leader="none" w:pos="720"/>
          <w:tab w:val="left" w:leader="none" w:pos="851"/>
        </w:tabs>
        <w:spacing w:after="240" w:before="120"/>
        <w:ind w:left="-142"/>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p>
    <w:p>
      <w:pPr>
        <w:pStyle w:val="1056"/>
        <w:keepNext w:val="true"/>
        <w:keepLines w:val="true"/>
        <w:numPr>
          <w:ilvl w:val="0"/>
          <w:numId w:val="18"/>
        </w:numPr>
        <w:pBdr/>
        <w:tabs>
          <w:tab w:val="left" w:leader="none" w:pos="0"/>
          <w:tab w:val="left" w:leader="none" w:pos="142"/>
          <w:tab w:val="clear" w:leader="none" w:pos="720"/>
        </w:tabs>
        <w:spacing w:after="288" w:before="288" w:line="312" w:lineRule="auto"/>
        <w:ind/>
        <w:rPr>
          <w:u w:val="single"/>
        </w:rPr>
      </w:pPr>
      <w:r/>
      <w:bookmarkStart w:id="58" w:name="_heading=h.sqyw64"/>
      <w:r/>
      <w:bookmarkEnd w:id="58"/>
      <w:r>
        <w:rPr>
          <w:rFonts w:eastAsia="Arial"/>
          <w:b/>
          <w:color w:val="000000"/>
          <w:sz w:val="24"/>
          <w:szCs w:val="24"/>
          <w:u w:val="single"/>
        </w:rPr>
        <w:t xml:space="preserve">DAS INFRAÇÕES ADMINISTRATIVAS E SANÇÕES</w:t>
      </w:r>
      <w:r>
        <w:rPr>
          <w:u w:val="single"/>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Comete infração administrativa, nos termos da lei, o licitante que, com dolo ou culpa: </w:t>
      </w:r>
      <w:r>
        <w:rPr>
          <w:rFonts w:eastAsia="Arial"/>
          <w:color w:val="000000"/>
          <w:sz w:val="24"/>
          <w:szCs w:val="24"/>
        </w:rPr>
      </w:r>
    </w:p>
    <w:p>
      <w:pPr>
        <w:pStyle w:val="1056"/>
        <w:numPr>
          <w:ilvl w:val="2"/>
          <w:numId w:val="18"/>
        </w:numPr>
        <w:pBdr/>
        <w:tabs>
          <w:tab w:val="clear" w:leader="none" w:pos="720"/>
          <w:tab w:val="left" w:leader="none" w:pos="1134"/>
        </w:tabs>
        <w:spacing w:line="276" w:lineRule="auto"/>
        <w:ind w:firstLine="0" w:left="0"/>
        <w:rPr>
          <w:rFonts w:eastAsia="Arial"/>
          <w:color w:val="000000"/>
          <w:sz w:val="24"/>
          <w:szCs w:val="24"/>
        </w:rPr>
      </w:pPr>
      <w:r/>
      <w:bookmarkStart w:id="59" w:name="_heading=h.3cqmetx"/>
      <w:r/>
      <w:bookmarkEnd w:id="59"/>
      <w:r>
        <w:rPr>
          <w:rFonts w:eastAsia="Arial"/>
          <w:color w:val="000000"/>
          <w:sz w:val="24"/>
          <w:szCs w:val="24"/>
        </w:rPr>
        <w:t xml:space="preserve">deixar de entregar a documentação exigida para o certame ou não entregar qualquer documento que tenha sido solicitado pelo/a pregoeiro/a durante o certame;</w:t>
      </w:r>
      <w:r>
        <w:rPr>
          <w:rFonts w:eastAsia="Arial"/>
          <w:color w:val="000000"/>
          <w:sz w:val="24"/>
          <w:szCs w:val="24"/>
        </w:rPr>
      </w:r>
    </w:p>
    <w:p>
      <w:pPr>
        <w:pStyle w:val="1056"/>
        <w:numPr>
          <w:ilvl w:val="2"/>
          <w:numId w:val="18"/>
        </w:numPr>
        <w:pBdr/>
        <w:tabs>
          <w:tab w:val="clear" w:leader="none" w:pos="720"/>
          <w:tab w:val="left" w:leader="none" w:pos="1134"/>
        </w:tabs>
        <w:spacing w:line="276" w:lineRule="auto"/>
        <w:ind w:firstLine="0" w:left="0"/>
        <w:rPr>
          <w:rFonts w:eastAsia="Arial"/>
          <w:color w:val="000000"/>
          <w:sz w:val="24"/>
          <w:szCs w:val="24"/>
        </w:rPr>
      </w:pPr>
      <w:r/>
      <w:bookmarkStart w:id="60" w:name="_heading=h.1rvwp1q"/>
      <w:r/>
      <w:bookmarkEnd w:id="60"/>
      <w:r>
        <w:rPr>
          <w:rFonts w:eastAsia="Arial"/>
          <w:color w:val="000000"/>
          <w:sz w:val="24"/>
          <w:szCs w:val="24"/>
        </w:rPr>
        <w:t xml:space="preserve">Salvo em decorrência de fato superveniente devidamente justificado, não mantiver a proposta em especial quando:</w:t>
      </w:r>
      <w:r>
        <w:rPr>
          <w:rFonts w:eastAsia="Arial"/>
          <w:color w:val="000000"/>
          <w:sz w:val="24"/>
          <w:szCs w:val="24"/>
        </w:rPr>
      </w:r>
    </w:p>
    <w:p>
      <w:pPr>
        <w:pStyle w:val="1056"/>
        <w:numPr>
          <w:ilvl w:val="3"/>
          <w:numId w:val="18"/>
        </w:numPr>
        <w:pBdr/>
        <w:tabs>
          <w:tab w:val="clear" w:leader="none" w:pos="720"/>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não enviar a proposta adequada ao último lance ofertado ou após a negociação; </w:t>
      </w:r>
      <w:r>
        <w:rPr>
          <w:rFonts w:eastAsia="Arial"/>
          <w:color w:val="000000"/>
          <w:sz w:val="24"/>
          <w:szCs w:val="24"/>
        </w:rPr>
      </w:r>
    </w:p>
    <w:p>
      <w:pPr>
        <w:pStyle w:val="1056"/>
        <w:numPr>
          <w:ilvl w:val="3"/>
          <w:numId w:val="18"/>
        </w:numPr>
        <w:pBdr/>
        <w:tabs>
          <w:tab w:val="clear" w:leader="none" w:pos="720"/>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recusar-se a enviar o detalhamento da proposta quando exigível; </w:t>
      </w:r>
      <w:r>
        <w:rPr>
          <w:rFonts w:eastAsia="Arial"/>
          <w:color w:val="000000"/>
          <w:sz w:val="24"/>
          <w:szCs w:val="24"/>
        </w:rPr>
      </w:r>
    </w:p>
    <w:p>
      <w:pPr>
        <w:pStyle w:val="1056"/>
        <w:numPr>
          <w:ilvl w:val="3"/>
          <w:numId w:val="18"/>
        </w:numPr>
        <w:pBdr/>
        <w:tabs>
          <w:tab w:val="clear" w:leader="none" w:pos="720"/>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pedir para ser desclassificado quando encerrada a etapa competitiva; ou </w:t>
      </w:r>
      <w:r>
        <w:rPr>
          <w:rFonts w:eastAsia="Arial"/>
          <w:color w:val="000000"/>
          <w:sz w:val="24"/>
          <w:szCs w:val="24"/>
        </w:rPr>
      </w:r>
    </w:p>
    <w:p>
      <w:pPr>
        <w:pStyle w:val="1056"/>
        <w:numPr>
          <w:ilvl w:val="3"/>
          <w:numId w:val="18"/>
        </w:numPr>
        <w:pBdr/>
        <w:tabs>
          <w:tab w:val="clear" w:leader="none" w:pos="720"/>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deixar de apresentar amostra;</w:t>
      </w:r>
      <w:r>
        <w:rPr>
          <w:rFonts w:eastAsia="Arial"/>
          <w:color w:val="000000"/>
          <w:sz w:val="24"/>
          <w:szCs w:val="24"/>
        </w:rPr>
      </w:r>
    </w:p>
    <w:p>
      <w:pPr>
        <w:pStyle w:val="1056"/>
        <w:numPr>
          <w:ilvl w:val="3"/>
          <w:numId w:val="18"/>
        </w:numPr>
        <w:pBdr/>
        <w:tabs>
          <w:tab w:val="clear" w:leader="none" w:pos="720"/>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apresentar proposta ou amostra em desacordo com as especificações do edital; </w:t>
      </w:r>
      <w:r>
        <w:rPr>
          <w:rFonts w:eastAsia="Arial"/>
          <w:color w:val="000000"/>
          <w:sz w:val="24"/>
          <w:szCs w:val="24"/>
        </w:rPr>
      </w:r>
    </w:p>
    <w:p>
      <w:pPr>
        <w:pStyle w:val="1056"/>
        <w:numPr>
          <w:ilvl w:val="2"/>
          <w:numId w:val="18"/>
        </w:numPr>
        <w:pBdr/>
        <w:tabs>
          <w:tab w:val="clear" w:leader="none" w:pos="720"/>
          <w:tab w:val="left" w:leader="none" w:pos="1134"/>
        </w:tabs>
        <w:spacing w:line="276" w:lineRule="auto"/>
        <w:ind w:firstLine="0" w:left="0"/>
        <w:rPr>
          <w:rFonts w:eastAsia="Arial"/>
          <w:color w:val="000000"/>
          <w:sz w:val="24"/>
          <w:szCs w:val="24"/>
        </w:rPr>
      </w:pPr>
      <w:r/>
      <w:bookmarkStart w:id="61" w:name="_heading=h.4bvk7pj"/>
      <w:r/>
      <w:bookmarkEnd w:id="61"/>
      <w:r>
        <w:rPr>
          <w:rFonts w:eastAsia="Arial"/>
          <w:color w:val="000000"/>
          <w:sz w:val="24"/>
          <w:szCs w:val="24"/>
        </w:rPr>
        <w:t xml:space="preserve">não celebrar o contrato ou não entregar a documentação exigida para a contratação, quando convocado dentro do prazo de validade de sua proposta;</w:t>
      </w:r>
      <w:r>
        <w:rPr>
          <w:rFonts w:eastAsia="Arial"/>
          <w:color w:val="000000"/>
          <w:sz w:val="24"/>
          <w:szCs w:val="24"/>
        </w:rPr>
      </w:r>
    </w:p>
    <w:p>
      <w:pPr>
        <w:pStyle w:val="1056"/>
        <w:numPr>
          <w:ilvl w:val="3"/>
          <w:numId w:val="18"/>
        </w:numPr>
        <w:pBdr/>
        <w:tabs>
          <w:tab w:val="clear" w:leader="none" w:pos="720"/>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recusar-se, sem justificativa, a assinar o contrato ou a ata de registro de preço, ou a aceitar ou retirar o instrumento equivalente no prazo estabelecido pela Administração;</w:t>
      </w:r>
      <w:r>
        <w:rPr>
          <w:rFonts w:eastAsia="Arial"/>
          <w:color w:val="000000"/>
          <w:sz w:val="24"/>
          <w:szCs w:val="24"/>
        </w:rPr>
      </w:r>
    </w:p>
    <w:p>
      <w:pPr>
        <w:pStyle w:val="1056"/>
        <w:numPr>
          <w:ilvl w:val="2"/>
          <w:numId w:val="18"/>
        </w:numPr>
        <w:pBdr/>
        <w:tabs>
          <w:tab w:val="clear" w:leader="none" w:pos="720"/>
          <w:tab w:val="left" w:leader="none" w:pos="1134"/>
        </w:tabs>
        <w:spacing w:line="276" w:lineRule="auto"/>
        <w:ind w:firstLine="0" w:left="0"/>
        <w:rPr>
          <w:rFonts w:eastAsia="Arial"/>
          <w:color w:val="000000"/>
          <w:sz w:val="24"/>
          <w:szCs w:val="24"/>
        </w:rPr>
      </w:pPr>
      <w:r/>
      <w:bookmarkStart w:id="62" w:name="_heading=h.2r0uhxc"/>
      <w:r/>
      <w:bookmarkEnd w:id="62"/>
      <w:r>
        <w:rPr>
          <w:rFonts w:eastAsia="Arial"/>
          <w:color w:val="000000"/>
          <w:sz w:val="24"/>
          <w:szCs w:val="24"/>
        </w:rPr>
        <w:t xml:space="preserve">apresentar declaração ou documentação falsa exigida para o certame ou prestar declaração falsa durante a licitação</w:t>
      </w:r>
      <w:r>
        <w:rPr>
          <w:rFonts w:eastAsia="Arial"/>
          <w:color w:val="000000"/>
          <w:sz w:val="24"/>
          <w:szCs w:val="24"/>
        </w:rPr>
      </w:r>
    </w:p>
    <w:p>
      <w:pPr>
        <w:pStyle w:val="1056"/>
        <w:numPr>
          <w:ilvl w:val="2"/>
          <w:numId w:val="18"/>
        </w:numPr>
        <w:pBdr/>
        <w:tabs>
          <w:tab w:val="clear" w:leader="none" w:pos="720"/>
          <w:tab w:val="left" w:leader="none" w:pos="1134"/>
        </w:tabs>
        <w:spacing w:line="276" w:lineRule="auto"/>
        <w:ind w:firstLine="0" w:left="0"/>
        <w:rPr>
          <w:rFonts w:eastAsia="Arial"/>
          <w:color w:val="000000"/>
          <w:sz w:val="24"/>
          <w:szCs w:val="24"/>
        </w:rPr>
      </w:pPr>
      <w:r/>
      <w:bookmarkStart w:id="63" w:name="_heading=h.1664s55"/>
      <w:r/>
      <w:bookmarkEnd w:id="63"/>
      <w:r>
        <w:rPr>
          <w:rFonts w:eastAsia="Arial"/>
          <w:color w:val="000000"/>
          <w:sz w:val="24"/>
          <w:szCs w:val="24"/>
        </w:rPr>
        <w:t xml:space="preserve">fraudar a licitação</w:t>
      </w:r>
      <w:r>
        <w:rPr>
          <w:rFonts w:eastAsia="Arial"/>
          <w:color w:val="000000"/>
          <w:sz w:val="24"/>
          <w:szCs w:val="24"/>
        </w:rPr>
      </w:r>
    </w:p>
    <w:p>
      <w:pPr>
        <w:pStyle w:val="1056"/>
        <w:numPr>
          <w:ilvl w:val="2"/>
          <w:numId w:val="18"/>
        </w:numPr>
        <w:pBdr/>
        <w:tabs>
          <w:tab w:val="clear" w:leader="none" w:pos="720"/>
          <w:tab w:val="left" w:leader="none" w:pos="1134"/>
        </w:tabs>
        <w:spacing w:line="276" w:lineRule="auto"/>
        <w:ind w:firstLine="0" w:left="0"/>
        <w:rPr>
          <w:rFonts w:eastAsia="Arial"/>
          <w:color w:val="000000"/>
          <w:sz w:val="24"/>
          <w:szCs w:val="24"/>
        </w:rPr>
      </w:pPr>
      <w:r/>
      <w:bookmarkStart w:id="64" w:name="_heading=h.3q5sasy"/>
      <w:r/>
      <w:bookmarkEnd w:id="64"/>
      <w:r>
        <w:rPr>
          <w:rFonts w:eastAsia="Arial"/>
          <w:color w:val="000000"/>
          <w:sz w:val="24"/>
          <w:szCs w:val="24"/>
        </w:rPr>
        <w:t xml:space="preserve">comportar-se de modo inidôneo ou cometer fraude de qualquer natureza, em especial quando:</w:t>
      </w:r>
      <w:r>
        <w:rPr>
          <w:rFonts w:eastAsia="Arial"/>
          <w:color w:val="000000"/>
          <w:sz w:val="24"/>
          <w:szCs w:val="24"/>
        </w:rPr>
      </w:r>
    </w:p>
    <w:p>
      <w:pPr>
        <w:pStyle w:val="1056"/>
        <w:numPr>
          <w:ilvl w:val="3"/>
          <w:numId w:val="18"/>
        </w:numPr>
        <w:pBdr/>
        <w:tabs>
          <w:tab w:val="clear" w:leader="none" w:pos="720"/>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agir em conluio ou em desconformidade com a lei; </w:t>
      </w:r>
      <w:r>
        <w:rPr>
          <w:rFonts w:eastAsia="Arial"/>
          <w:color w:val="000000"/>
          <w:sz w:val="24"/>
          <w:szCs w:val="24"/>
        </w:rPr>
      </w:r>
    </w:p>
    <w:p>
      <w:pPr>
        <w:pStyle w:val="1056"/>
        <w:numPr>
          <w:ilvl w:val="3"/>
          <w:numId w:val="18"/>
        </w:numPr>
        <w:pBdr/>
        <w:tabs>
          <w:tab w:val="clear" w:leader="none" w:pos="720"/>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induzir deliberadamente a erro no julgamento; </w:t>
      </w:r>
      <w:r>
        <w:rPr>
          <w:rFonts w:eastAsia="Arial"/>
          <w:color w:val="000000"/>
          <w:sz w:val="24"/>
          <w:szCs w:val="24"/>
        </w:rPr>
      </w:r>
    </w:p>
    <w:p>
      <w:pPr>
        <w:pStyle w:val="1056"/>
        <w:numPr>
          <w:ilvl w:val="3"/>
          <w:numId w:val="18"/>
        </w:numPr>
        <w:pBdr/>
        <w:tabs>
          <w:tab w:val="clear" w:leader="none" w:pos="720"/>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apresentar amostra falsificada ou deteriorada; </w:t>
      </w:r>
      <w:r>
        <w:rPr>
          <w:rFonts w:eastAsia="Arial"/>
          <w:color w:val="000000"/>
          <w:sz w:val="24"/>
          <w:szCs w:val="24"/>
        </w:rPr>
      </w:r>
    </w:p>
    <w:p>
      <w:pPr>
        <w:pStyle w:val="1056"/>
        <w:numPr>
          <w:ilvl w:val="2"/>
          <w:numId w:val="18"/>
        </w:numPr>
        <w:pBdr/>
        <w:tabs>
          <w:tab w:val="clear" w:leader="none" w:pos="720"/>
          <w:tab w:val="left" w:leader="none" w:pos="1134"/>
        </w:tabs>
        <w:spacing w:line="276" w:lineRule="auto"/>
        <w:ind w:firstLine="0" w:left="0"/>
        <w:rPr>
          <w:rFonts w:eastAsia="Arial"/>
          <w:color w:val="000000"/>
          <w:sz w:val="24"/>
          <w:szCs w:val="24"/>
        </w:rPr>
      </w:pPr>
      <w:r/>
      <w:bookmarkStart w:id="65" w:name="_heading=h.25b2l0r"/>
      <w:r/>
      <w:bookmarkEnd w:id="65"/>
      <w:r>
        <w:rPr>
          <w:rFonts w:eastAsia="Arial"/>
          <w:color w:val="000000"/>
          <w:sz w:val="24"/>
          <w:szCs w:val="24"/>
        </w:rPr>
        <w:t xml:space="preserve">praticar atos ilícitos com vistas a frustrar os objetivos da licitação</w:t>
      </w:r>
      <w:r>
        <w:rPr>
          <w:rFonts w:eastAsia="Arial"/>
          <w:color w:val="000000"/>
          <w:sz w:val="24"/>
          <w:szCs w:val="24"/>
        </w:rPr>
      </w:r>
    </w:p>
    <w:p>
      <w:pPr>
        <w:pStyle w:val="1056"/>
        <w:numPr>
          <w:ilvl w:val="2"/>
          <w:numId w:val="18"/>
        </w:numPr>
        <w:pBdr/>
        <w:tabs>
          <w:tab w:val="clear" w:leader="none" w:pos="720"/>
          <w:tab w:val="left" w:leader="none" w:pos="1134"/>
        </w:tabs>
        <w:spacing w:line="276" w:lineRule="auto"/>
        <w:ind w:firstLine="0" w:left="0"/>
        <w:rPr>
          <w:rFonts w:eastAsia="Arial"/>
          <w:color w:val="000000"/>
          <w:sz w:val="24"/>
          <w:szCs w:val="24"/>
        </w:rPr>
      </w:pPr>
      <w:r/>
      <w:bookmarkStart w:id="66" w:name="_heading=h.kgcv8k"/>
      <w:r/>
      <w:bookmarkEnd w:id="66"/>
      <w:r>
        <w:rPr>
          <w:rFonts w:eastAsia="Arial"/>
          <w:color w:val="000000"/>
          <w:sz w:val="24"/>
          <w:szCs w:val="24"/>
        </w:rPr>
        <w:t xml:space="preserve">praticar ato lesivo previsto no </w:t>
      </w:r>
      <w:r>
        <w:fldChar w:fldCharType="begin"/>
      </w:r>
      <w:r>
        <w:rPr>
          <w:rFonts w:eastAsia="Arial"/>
          <w:color w:val="000000"/>
          <w:sz w:val="24"/>
          <w:szCs w:val="24"/>
          <w:u w:val="single"/>
        </w:rPr>
        <w:instrText xml:space="preserve"> HYPERLINK "https://www.planalto.gov.br/ccivil_03/_ato2011-2014/2013/lei/l12846.htm" \l "art5"</w:instrText>
      </w:r>
      <w:r>
        <w:rPr>
          <w:rFonts w:eastAsia="Arial"/>
          <w:color w:val="000000"/>
          <w:sz w:val="24"/>
          <w:szCs w:val="24"/>
          <w:u w:val="single"/>
        </w:rPr>
        <w:fldChar w:fldCharType="separate"/>
      </w:r>
      <w:r>
        <w:rPr>
          <w:rFonts w:eastAsia="Arial"/>
          <w:color w:val="000000"/>
          <w:sz w:val="24"/>
          <w:szCs w:val="24"/>
          <w:u w:val="single"/>
        </w:rPr>
        <w:t xml:space="preserve">art. 5º da Lei n.º 12.846, de 2013</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1"/>
          <w:numId w:val="18"/>
        </w:numPr>
        <w:pBdr/>
        <w:spacing w:line="276" w:lineRule="auto"/>
        <w:ind w:firstLine="0" w:left="0"/>
        <w:rPr>
          <w:rFonts w:eastAsia="Arial"/>
          <w:b/>
          <w:color w:val="000000"/>
          <w:sz w:val="24"/>
          <w:szCs w:val="24"/>
        </w:rPr>
      </w:pPr>
      <w:r>
        <w:rPr>
          <w:rFonts w:eastAsia="Arial"/>
          <w:b/>
          <w:color w:val="000000"/>
          <w:sz w:val="24"/>
          <w:szCs w:val="24"/>
        </w:rPr>
        <w:t xml:space="preserve">Com fulcro na </w:t>
      </w:r>
      <w:hyperlink r:id="rId42" w:tooltip="http://www.planalto.gov.br/ccivil_03/_ato2019-2022/2021/lei/L14133.htm" w:history="1">
        <w:r>
          <w:rPr>
            <w:rFonts w:eastAsia="Arial"/>
            <w:b/>
            <w:color w:val="000000"/>
            <w:sz w:val="24"/>
            <w:szCs w:val="24"/>
            <w:u w:val="single"/>
          </w:rPr>
          <w:t xml:space="preserve">Lei nº 14.133, de 2021</w:t>
        </w:r>
      </w:hyperlink>
      <w:r>
        <w:rPr>
          <w:rFonts w:eastAsia="Arial"/>
          <w:b/>
          <w:color w:val="000000"/>
          <w:sz w:val="24"/>
          <w:szCs w:val="24"/>
        </w:rPr>
        <w:t xml:space="preserve">, a Administração poderá, garantida a prévia defesa, aplicar aos licitantes e/ou adjudicatários as seguintes sanções, sem prejuízo das responsabilidades civil e criminal: </w:t>
      </w:r>
      <w:r>
        <w:rPr>
          <w:rFonts w:eastAsia="Arial"/>
          <w:b/>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advertência; </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multa;</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impedimento de licitar e contratar e</w:t>
      </w:r>
      <w:r>
        <w:rPr>
          <w:rFonts w:eastAsia="Arial"/>
          <w:color w:val="000000"/>
          <w:sz w:val="24"/>
          <w:szCs w:val="24"/>
        </w:rPr>
      </w:r>
    </w:p>
    <w:p>
      <w:pPr>
        <w:pStyle w:val="1056"/>
        <w:numPr>
          <w:ilvl w:val="2"/>
          <w:numId w:val="18"/>
        </w:numPr>
        <w:pBdr/>
        <w:tabs>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declaração de inidoneidade para licitar ou contratar, enquanto perdurarem os motivos determinantes da punição ou até que seja promovida sua reabilitação perante a própria autoridade que aplicou a penalidade.</w:t>
      </w:r>
      <w:r>
        <w:rPr>
          <w:rFonts w:eastAsia="Arial"/>
          <w:color w:val="000000"/>
          <w:sz w:val="24"/>
          <w:szCs w:val="24"/>
        </w:rPr>
      </w:r>
    </w:p>
    <w:p>
      <w:pPr>
        <w:pStyle w:val="1056"/>
        <w:numPr>
          <w:ilvl w:val="1"/>
          <w:numId w:val="18"/>
        </w:numPr>
        <w:pBdr/>
        <w:spacing w:line="276" w:lineRule="auto"/>
        <w:ind w:firstLine="0" w:left="0"/>
        <w:rPr>
          <w:rFonts w:eastAsia="Arial"/>
          <w:b/>
          <w:color w:val="000000"/>
          <w:sz w:val="24"/>
          <w:szCs w:val="24"/>
        </w:rPr>
      </w:pPr>
      <w:r>
        <w:rPr>
          <w:rFonts w:eastAsia="Arial"/>
          <w:b/>
          <w:color w:val="000000"/>
          <w:sz w:val="24"/>
          <w:szCs w:val="24"/>
        </w:rPr>
        <w:t xml:space="preserve">Na aplicação das sanções serão considerados:</w:t>
      </w:r>
      <w:r>
        <w:rPr>
          <w:rFonts w:eastAsia="Arial"/>
          <w:b/>
          <w:color w:val="000000"/>
          <w:sz w:val="24"/>
          <w:szCs w:val="24"/>
        </w:rPr>
      </w:r>
    </w:p>
    <w:p>
      <w:pPr>
        <w:pStyle w:val="1056"/>
        <w:numPr>
          <w:ilvl w:val="2"/>
          <w:numId w:val="18"/>
        </w:numPr>
        <w:pBdr/>
        <w:tabs>
          <w:tab w:val="left" w:leader="none" w:pos="709"/>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a natureza e a gravidade da infração cometida.</w:t>
      </w:r>
      <w:r>
        <w:rPr>
          <w:rFonts w:eastAsia="Arial"/>
          <w:color w:val="000000"/>
          <w:sz w:val="24"/>
          <w:szCs w:val="24"/>
        </w:rPr>
      </w:r>
    </w:p>
    <w:p>
      <w:pPr>
        <w:pStyle w:val="1056"/>
        <w:numPr>
          <w:ilvl w:val="2"/>
          <w:numId w:val="18"/>
        </w:numPr>
        <w:pBdr/>
        <w:tabs>
          <w:tab w:val="left" w:leader="none" w:pos="709"/>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as peculiaridades do caso concreto</w:t>
      </w:r>
      <w:r>
        <w:rPr>
          <w:rFonts w:eastAsia="Arial"/>
          <w:color w:val="000000"/>
          <w:sz w:val="24"/>
          <w:szCs w:val="24"/>
        </w:rPr>
      </w:r>
    </w:p>
    <w:p>
      <w:pPr>
        <w:pStyle w:val="1056"/>
        <w:numPr>
          <w:ilvl w:val="2"/>
          <w:numId w:val="18"/>
        </w:numPr>
        <w:pBdr/>
        <w:tabs>
          <w:tab w:val="left" w:leader="none" w:pos="709"/>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as circunstâncias agravantes ou atenuantes</w:t>
      </w:r>
      <w:r>
        <w:rPr>
          <w:rFonts w:eastAsia="Arial"/>
          <w:color w:val="000000"/>
          <w:sz w:val="24"/>
          <w:szCs w:val="24"/>
        </w:rPr>
      </w:r>
    </w:p>
    <w:p>
      <w:pPr>
        <w:pStyle w:val="1056"/>
        <w:numPr>
          <w:ilvl w:val="2"/>
          <w:numId w:val="18"/>
        </w:numPr>
        <w:pBdr/>
        <w:tabs>
          <w:tab w:val="left" w:leader="none" w:pos="709"/>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os danos que dela provierem para a Administração Pública</w:t>
      </w:r>
      <w:r>
        <w:rPr>
          <w:rFonts w:eastAsia="Arial"/>
          <w:color w:val="000000"/>
          <w:sz w:val="24"/>
          <w:szCs w:val="24"/>
        </w:rPr>
      </w:r>
    </w:p>
    <w:p>
      <w:pPr>
        <w:pStyle w:val="1056"/>
        <w:numPr>
          <w:ilvl w:val="2"/>
          <w:numId w:val="18"/>
        </w:numPr>
        <w:pBdr/>
        <w:tabs>
          <w:tab w:val="left" w:leader="none" w:pos="709"/>
          <w:tab w:val="clear" w:leader="none" w:pos="720"/>
          <w:tab w:val="left" w:leader="none" w:pos="993"/>
        </w:tabs>
        <w:spacing w:line="276" w:lineRule="auto"/>
        <w:ind w:firstLine="0" w:left="0"/>
        <w:rPr>
          <w:rFonts w:eastAsia="Arial"/>
          <w:color w:val="000000"/>
          <w:sz w:val="24"/>
          <w:szCs w:val="24"/>
        </w:rPr>
      </w:pPr>
      <w:r>
        <w:rPr>
          <w:rFonts w:eastAsia="Arial"/>
          <w:color w:val="000000"/>
          <w:sz w:val="24"/>
          <w:szCs w:val="24"/>
        </w:rPr>
        <w:t xml:space="preserve">a implantação ou o aperfeiçoamento de programa de integridade, conforme normas e orientações dos órgãos de controle.</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multa será recolhida em percentual de 0,5% a 30% incidente sobre o valor do contrato licitado, recolhida no prazo máximo de </w:t>
      </w:r>
      <w:r>
        <w:rPr>
          <w:rFonts w:eastAsia="Arial"/>
          <w:b/>
          <w:color w:val="000000"/>
          <w:sz w:val="24"/>
          <w:szCs w:val="24"/>
        </w:rPr>
        <w:t xml:space="preserve">15 (quinze) dias</w:t>
      </w:r>
      <w:r>
        <w:rPr>
          <w:rFonts w:eastAsia="Arial"/>
          <w:color w:val="000000"/>
          <w:sz w:val="24"/>
          <w:szCs w:val="24"/>
        </w:rPr>
        <w:t xml:space="preserve"> úteis, a contar da comunicação oficial. </w:t>
      </w:r>
      <w:r>
        <w:rPr>
          <w:rFonts w:eastAsia="Arial"/>
          <w:color w:val="000000"/>
          <w:sz w:val="24"/>
          <w:szCs w:val="24"/>
        </w:rPr>
      </w:r>
    </w:p>
    <w:p>
      <w:pPr>
        <w:pStyle w:val="1056"/>
        <w:numPr>
          <w:ilvl w:val="2"/>
          <w:numId w:val="18"/>
        </w:numPr>
        <w:pBdr/>
        <w:tabs>
          <w:tab w:val="clear" w:leader="none" w:pos="720"/>
          <w:tab w:val="left" w:leader="none" w:pos="851"/>
        </w:tabs>
        <w:spacing w:line="276" w:lineRule="auto"/>
        <w:ind w:firstLine="0" w:left="0"/>
        <w:rPr>
          <w:rFonts w:eastAsia="Arial"/>
          <w:color w:val="000000"/>
          <w:sz w:val="24"/>
          <w:szCs w:val="24"/>
        </w:rPr>
      </w:pPr>
      <w:r/>
      <w:bookmarkStart w:id="67" w:name="_heading=h.34g0dwd"/>
      <w:r/>
      <w:bookmarkEnd w:id="67"/>
      <w:r>
        <w:rPr>
          <w:rFonts w:eastAsia="Arial"/>
          <w:color w:val="000000"/>
          <w:sz w:val="24"/>
          <w:szCs w:val="24"/>
        </w:rPr>
        <w:t xml:space="preserve">Para as infrações previstas nos itens 19.1.1, 19.1.2 e 19.1.3, a multa será de 0,5% a 15% do valor do contrato licitado.</w:t>
      </w:r>
      <w:r>
        <w:rPr>
          <w:rFonts w:eastAsia="Arial"/>
          <w:color w:val="000000"/>
          <w:sz w:val="24"/>
          <w:szCs w:val="24"/>
        </w:rPr>
      </w:r>
    </w:p>
    <w:p>
      <w:pPr>
        <w:pStyle w:val="1056"/>
        <w:numPr>
          <w:ilvl w:val="2"/>
          <w:numId w:val="18"/>
        </w:numPr>
        <w:pBdr/>
        <w:tabs>
          <w:tab w:val="clear" w:leader="none" w:pos="720"/>
          <w:tab w:val="left" w:leader="none" w:pos="851"/>
        </w:tabs>
        <w:spacing w:line="276" w:lineRule="auto"/>
        <w:ind w:firstLine="0" w:left="0"/>
        <w:rPr>
          <w:rFonts w:eastAsia="Arial"/>
          <w:color w:val="000000"/>
          <w:sz w:val="24"/>
          <w:szCs w:val="24"/>
        </w:rPr>
      </w:pPr>
      <w:r>
        <w:rPr>
          <w:rFonts w:eastAsia="Arial"/>
          <w:color w:val="000000"/>
          <w:sz w:val="24"/>
          <w:szCs w:val="24"/>
        </w:rPr>
        <w:t xml:space="preserve">Para as infrações previstas nos itens 19.1.4, 19.1.5, 19.1.6, 19.1.7 e 19.1.8, a multa será de 15% a 30% do valor do contrato licitado.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As sanções de advertência, impedimento de licitar e contratar e declaração de inidoneidade para licitar ou contratar poderão ser aplicadas, cumulativamente ou não, à penalidade de multa.</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Na aplicação da sanção de multa será facultada a defesa do interessado no prazo de </w:t>
      </w:r>
      <w:r>
        <w:rPr>
          <w:rFonts w:eastAsia="Arial"/>
          <w:b/>
          <w:color w:val="000000"/>
          <w:sz w:val="24"/>
          <w:szCs w:val="24"/>
        </w:rPr>
        <w:t xml:space="preserve">15 (quinze) dias úteis</w:t>
      </w:r>
      <w:r>
        <w:rPr>
          <w:rFonts w:eastAsia="Arial"/>
          <w:color w:val="000000"/>
          <w:sz w:val="24"/>
          <w:szCs w:val="24"/>
        </w:rPr>
        <w:t xml:space="preserve">, contado da data de sua intimação.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sanção de impedimento de licitar e contratar será aplicada ao responsável em decorrência das infrações administrativas relacionadas nos itens 19.1.1, 19.</w:t>
      </w:r>
      <w:r>
        <w:rPr>
          <w:rFonts w:eastAsia="Arial"/>
          <w:color w:val="000000"/>
          <w:sz w:val="24"/>
          <w:szCs w:val="24"/>
        </w:rPr>
        <w:t xml:space="preserve">1.2 e 19.1.3, quando não se justificar a imposição de penalidade mais grave, e impedirá o responsável de licitar e contratar no âmbito da Administração Pública direta e indireta do ente federativo a qual pertencer o órgão ou entidade, pelo prazo máximo de </w:t>
      </w:r>
      <w:r>
        <w:rPr>
          <w:rFonts w:eastAsia="Arial"/>
          <w:b/>
          <w:color w:val="000000"/>
          <w:sz w:val="24"/>
          <w:szCs w:val="24"/>
        </w:rPr>
        <w:t xml:space="preserve">03 (três) anos</w:t>
      </w:r>
      <w:r>
        <w:rPr>
          <w:rFonts w:eastAsia="Arial"/>
          <w:color w:val="000000"/>
          <w:sz w:val="24"/>
          <w:szCs w:val="24"/>
        </w:rPr>
        <w:t xml:space="preserve">.</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Poderá ser aplicada ao responsável a sanção de declaração de inidoneidade para licitar ou contratar, em decorrência da prática das infrações dispostas nos itens 19.1.4, 19.1.5, 19</w:t>
      </w:r>
      <w:r>
        <w:rPr>
          <w:rFonts w:eastAsia="Arial"/>
          <w:color w:val="000000"/>
          <w:sz w:val="24"/>
          <w:szCs w:val="24"/>
        </w:rPr>
        <w:t xml:space="preserve">.1.6, 19.1.7 e 19.1.8, bem como pelas infrações administrativas previstas nos itens 19.1.1, 19.1.2 e 19.1.3 que justifiquem a imposição de penalidade mais grave que a sanção de impedimento de licitar e contratar, cuja duração observará o prazo previsto no </w:t>
      </w:r>
      <w:r>
        <w:fldChar w:fldCharType="begin"/>
      </w:r>
      <w:r>
        <w:rPr>
          <w:rFonts w:eastAsia="Arial"/>
          <w:color w:val="000000"/>
          <w:sz w:val="24"/>
          <w:szCs w:val="24"/>
          <w:u w:val="single"/>
        </w:rPr>
        <w:instrText xml:space="preserve"> HYPERLINK "http://www.planalto.gov.br/ccivil_03/_ato2019-2022/2021/lei/L14133.htm" \l "art156%C2%A75"</w:instrText>
      </w:r>
      <w:r>
        <w:rPr>
          <w:rFonts w:eastAsia="Arial"/>
          <w:color w:val="000000"/>
          <w:sz w:val="24"/>
          <w:szCs w:val="24"/>
          <w:u w:val="single"/>
        </w:rPr>
        <w:fldChar w:fldCharType="separate"/>
      </w:r>
      <w:r>
        <w:rPr>
          <w:rFonts w:eastAsia="Arial"/>
          <w:color w:val="000000"/>
          <w:sz w:val="24"/>
          <w:szCs w:val="24"/>
          <w:u w:val="single"/>
        </w:rPr>
        <w:t xml:space="preserve">art. 156, §5º, da Lei n.º 14.133/2021</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recusa injustificada do adjudicatário em assinar o contrato ou a ata de registro de preço, ou em aceitar ou retirar o instrumento equivalente no prazo e</w:t>
      </w:r>
      <w:r>
        <w:rPr>
          <w:rFonts w:eastAsia="Arial"/>
          <w:color w:val="000000"/>
          <w:sz w:val="24"/>
          <w:szCs w:val="24"/>
        </w:rPr>
        <w:t xml:space="preserve">stabelecido pela Administração, descrita no item 19.1.3, caracterizará o descumprimento total da obrigação assumida e o sujeitará às penalidades e à imediata perda da garantia de proposta em favor do órgão ou entidade promotora da licitação, nos termos do </w:t>
      </w:r>
      <w:hyperlink r:id="rId43" w:tooltip="https://www.gov.br/compras/pt-br/acesso-a-informacao/legislacao/instrucoes-normativas/instrucao-normativa-seges-me-no-73-de-30-de-setembro-de-2022" w:history="1">
        <w:r>
          <w:rPr>
            <w:rFonts w:eastAsia="Arial"/>
            <w:color w:val="000000"/>
            <w:sz w:val="24"/>
            <w:szCs w:val="24"/>
            <w:u w:val="single"/>
          </w:rPr>
          <w:t xml:space="preserve">art. 45, §4º da IN SEGES/ME n.º 73, de 2022</w:t>
        </w:r>
      </w:hyperlink>
      <w:r>
        <w:rPr>
          <w:rFonts w:eastAsia="Arial"/>
          <w:color w:val="000000"/>
          <w:sz w:val="24"/>
          <w:szCs w:val="24"/>
        </w:rPr>
        <w:t xml:space="preserve">. </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apuração de responsabilidades relacionadas às sanções de impedimento de licitar e contratar e de declaração de inidoneidade para licitar ou contratar demandará a instauração de processo de responsabilização a ser conduzido por </w:t>
      </w:r>
      <w:r>
        <w:rPr>
          <w:rFonts w:eastAsia="Arial"/>
          <w:b/>
          <w:color w:val="000000"/>
          <w:sz w:val="24"/>
          <w:szCs w:val="24"/>
        </w:rPr>
        <w:t xml:space="preserve">comissão composta por 02 (dois) ou mais servidores estáveis</w:t>
      </w:r>
      <w:r>
        <w:rPr>
          <w:rFonts w:eastAsia="Arial"/>
          <w:color w:val="000000"/>
          <w:sz w:val="24"/>
          <w:szCs w:val="24"/>
        </w:rPr>
        <w:t xml:space="preserve">, que avaliará fatos e circunstâncias conhecidos e intimará o licitante ou o adjudicatário para, no prazo de </w:t>
      </w:r>
      <w:r>
        <w:rPr>
          <w:rFonts w:eastAsia="Arial"/>
          <w:b/>
          <w:color w:val="000000"/>
          <w:sz w:val="24"/>
          <w:szCs w:val="24"/>
        </w:rPr>
        <w:t xml:space="preserve">15 (quinze) dias úteis</w:t>
      </w:r>
      <w:r>
        <w:rPr>
          <w:rFonts w:eastAsia="Arial"/>
          <w:color w:val="000000"/>
          <w:sz w:val="24"/>
          <w:szCs w:val="24"/>
        </w:rPr>
        <w:t xml:space="preserve">, contado da data de sua intimação, apresentar defesa escrita e especificar as provas que pretenda produzir. </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Caberá recurso no prazo de </w:t>
      </w:r>
      <w:r>
        <w:rPr>
          <w:rFonts w:eastAsia="Arial"/>
          <w:b/>
          <w:color w:val="000000"/>
          <w:sz w:val="24"/>
          <w:szCs w:val="24"/>
        </w:rPr>
        <w:t xml:space="preserve">15 (quinze) dias úteis</w:t>
      </w:r>
      <w:r>
        <w:rPr>
          <w:rFonts w:eastAsia="Arial"/>
          <w:color w:val="000000"/>
          <w:sz w:val="24"/>
          <w:szCs w:val="24"/>
        </w:rPr>
        <w:t xml:space="preserve"> da aplicação das sanções de advertência, multa e impedimento de licitar e contratar, contado da data da intimação, o qual será dirigido à autoridade que tiver proferido a decisão recorrida, que, se não a reconsiderar no prazo de </w:t>
      </w:r>
      <w:r>
        <w:rPr>
          <w:rFonts w:eastAsia="Arial"/>
          <w:b/>
          <w:color w:val="000000"/>
          <w:sz w:val="24"/>
          <w:szCs w:val="24"/>
        </w:rPr>
        <w:t xml:space="preserve">05 (cinco) dias úteis</w:t>
      </w:r>
      <w:r>
        <w:rPr>
          <w:rFonts w:eastAsia="Arial"/>
          <w:color w:val="000000"/>
          <w:sz w:val="24"/>
          <w:szCs w:val="24"/>
        </w:rPr>
        <w:t xml:space="preserve">, encaminhará o recurso com sua motivação à autoridade superior, que deverá proferir sua decisão no prazo máximo de </w:t>
      </w:r>
      <w:r>
        <w:rPr>
          <w:rFonts w:eastAsia="Arial"/>
          <w:b/>
          <w:color w:val="000000"/>
          <w:sz w:val="24"/>
          <w:szCs w:val="24"/>
        </w:rPr>
        <w:t xml:space="preserve">20 (vinte) dias úteis</w:t>
      </w:r>
      <w:r>
        <w:rPr>
          <w:rFonts w:eastAsia="Arial"/>
          <w:color w:val="000000"/>
          <w:sz w:val="24"/>
          <w:szCs w:val="24"/>
        </w:rPr>
        <w:t xml:space="preserve">, contado do recebimento dos autos.</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Caberá a apresentação de pedido de reconsideração da aplicação da sanção de declaração de inidoneidade para licitar ou contratar no prazo de </w:t>
      </w:r>
      <w:r>
        <w:rPr>
          <w:rFonts w:eastAsia="Arial"/>
          <w:b/>
          <w:color w:val="000000"/>
          <w:sz w:val="24"/>
          <w:szCs w:val="24"/>
        </w:rPr>
        <w:t xml:space="preserve">15 (quinze) dias úteis</w:t>
      </w:r>
      <w:r>
        <w:rPr>
          <w:rFonts w:eastAsia="Arial"/>
          <w:color w:val="000000"/>
          <w:sz w:val="24"/>
          <w:szCs w:val="24"/>
        </w:rPr>
        <w:t xml:space="preserve">, contado da data da intimação, e decidido no prazo máximo de </w:t>
      </w:r>
      <w:r>
        <w:rPr>
          <w:rFonts w:eastAsia="Arial"/>
          <w:b/>
          <w:color w:val="000000"/>
          <w:sz w:val="24"/>
          <w:szCs w:val="24"/>
        </w:rPr>
        <w:t xml:space="preserve">20 (vinte) dias úteis</w:t>
      </w:r>
      <w:r>
        <w:rPr>
          <w:rFonts w:eastAsia="Arial"/>
          <w:color w:val="000000"/>
          <w:sz w:val="24"/>
          <w:szCs w:val="24"/>
        </w:rPr>
        <w:t xml:space="preserve">, contado do seu recebimento.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recurso e o pedido de reconsideração terão efeito suspensivo do ato ou da decisão recorrida até que sobrevenha decisão final da autoridade competente.</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aplicação das sanções previstas neste edital não exclui, em hipótese alguma, a obrigação de reparação integral dos danos causados.</w:t>
      </w:r>
      <w:r>
        <w:rPr>
          <w:rFonts w:eastAsia="Arial"/>
          <w:color w:val="000000"/>
          <w:sz w:val="24"/>
          <w:szCs w:val="24"/>
        </w:rPr>
      </w:r>
    </w:p>
    <w:p>
      <w:pPr>
        <w:pStyle w:val="1056"/>
        <w:pBdr/>
        <w:spacing w:line="276" w:lineRule="auto"/>
        <w:ind/>
        <w:rPr>
          <w:rFonts w:eastAsia="Arial"/>
          <w:color w:val="000000"/>
          <w:sz w:val="24"/>
          <w:szCs w:val="24"/>
        </w:rPr>
      </w:pPr>
      <w:r>
        <w:rPr>
          <w:rFonts w:eastAsia="Arial"/>
          <w:color w:val="000000"/>
          <w:sz w:val="24"/>
          <w:szCs w:val="24"/>
        </w:rPr>
      </w:r>
      <w:r>
        <w:rPr>
          <w:rFonts w:eastAsia="Arial"/>
          <w:color w:val="000000"/>
          <w:sz w:val="24"/>
          <w:szCs w:val="24"/>
        </w:rPr>
      </w:r>
    </w:p>
    <w:p>
      <w:pPr>
        <w:pStyle w:val="1056"/>
        <w:numPr>
          <w:ilvl w:val="0"/>
          <w:numId w:val="18"/>
        </w:numPr>
        <w:pBdr/>
        <w:tabs>
          <w:tab w:val="left" w:leader="none" w:pos="567"/>
          <w:tab w:val="clear" w:leader="none" w:pos="720"/>
          <w:tab w:val="left" w:leader="none" w:pos="851"/>
        </w:tabs>
        <w:spacing w:after="240" w:before="120"/>
        <w:ind w:firstLine="0" w:left="0"/>
        <w:rPr>
          <w:rFonts w:eastAsia="Arial"/>
          <w:b/>
          <w:color w:val="000000"/>
          <w:sz w:val="24"/>
          <w:szCs w:val="24"/>
          <w:u w:val="single"/>
        </w:rPr>
      </w:pPr>
      <w:r/>
      <w:bookmarkStart w:id="68" w:name="_heading=h.1jlao46"/>
      <w:r/>
      <w:bookmarkEnd w:id="68"/>
      <w:r>
        <w:rPr>
          <w:rFonts w:eastAsia="Arial"/>
          <w:b/>
          <w:color w:val="000000"/>
          <w:sz w:val="24"/>
          <w:szCs w:val="24"/>
          <w:u w:val="single"/>
        </w:rPr>
        <w:t xml:space="preserve">DA IMPUGNAÇÃO AO EDITAL E DO PEDIDO DE ESCLARECIMENTO:</w:t>
      </w:r>
      <w:r>
        <w:rPr>
          <w:rFonts w:eastAsia="Arial"/>
          <w:b/>
          <w:color w:val="000000"/>
          <w:sz w:val="24"/>
          <w:szCs w:val="24"/>
          <w:u w:val="single"/>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Qualquer pessoa é parte legítima para impugnar este Edital por irregularidade na aplicação da </w:t>
      </w:r>
      <w:hyperlink r:id="rId44" w:tooltip="http://www.planalto.gov.br/ccivil_03/_ato2019-2022/2021/lei/L14133.htm" w:history="1">
        <w:r>
          <w:rPr>
            <w:rFonts w:eastAsia="Arial"/>
            <w:color w:val="000000"/>
            <w:sz w:val="24"/>
            <w:szCs w:val="24"/>
            <w:u w:val="single"/>
          </w:rPr>
          <w:t xml:space="preserve">Lei nº 14.133, de 2021</w:t>
        </w:r>
      </w:hyperlink>
      <w:r>
        <w:rPr>
          <w:rFonts w:eastAsia="Arial"/>
          <w:color w:val="000000"/>
          <w:sz w:val="24"/>
          <w:szCs w:val="24"/>
        </w:rPr>
        <w:t xml:space="preserve">, devendo protocolar o pedido até </w:t>
      </w:r>
      <w:r>
        <w:rPr>
          <w:rFonts w:eastAsia="Arial"/>
          <w:b/>
          <w:color w:val="000000"/>
          <w:sz w:val="24"/>
          <w:szCs w:val="24"/>
        </w:rPr>
        <w:t xml:space="preserve">03 (três) dias úteis</w:t>
      </w:r>
      <w:r>
        <w:rPr>
          <w:rFonts w:eastAsia="Arial"/>
          <w:color w:val="000000"/>
          <w:sz w:val="24"/>
          <w:szCs w:val="24"/>
        </w:rPr>
        <w:t xml:space="preserve"> antes da data da abertura do certame.</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resposta à impugnação ou ao pedido de esclarecimento será divulgado em sítio eletrônico oficial no prazo de até </w:t>
      </w:r>
      <w:r>
        <w:rPr>
          <w:rFonts w:eastAsia="Arial"/>
          <w:b/>
          <w:color w:val="000000"/>
          <w:sz w:val="24"/>
          <w:szCs w:val="24"/>
        </w:rPr>
        <w:t xml:space="preserve">03 (três) dias úteis</w:t>
      </w:r>
      <w:r>
        <w:rPr>
          <w:rFonts w:eastAsia="Arial"/>
          <w:color w:val="000000"/>
          <w:sz w:val="24"/>
          <w:szCs w:val="24"/>
        </w:rPr>
        <w:t xml:space="preserve">, limitado ao último dia útil anterior à data da abertura do certame.</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impugnação e o pedido de esclarecimento poderão ser realizados por forma eletrônica, pelos seguintes meios: </w:t>
      </w:r>
      <w:hyperlink r:id="rId45" w:tooltip="mailto:licitacao@riodasflores.rj.gov.br" w:history="1">
        <w:r>
          <w:rPr>
            <w:rFonts w:eastAsia="Arial"/>
            <w:color w:val="000000"/>
            <w:sz w:val="24"/>
            <w:szCs w:val="24"/>
            <w:u w:val="single"/>
          </w:rPr>
          <w:t xml:space="preserve">licitacao@riodasflores.rj.gov.br</w:t>
        </w:r>
      </w:hyperlink>
      <w:r>
        <w:rPr>
          <w:rFonts w:eastAsia="Arial"/>
          <w:color w:val="000000"/>
          <w:sz w:val="24"/>
          <w:szCs w:val="24"/>
        </w:rPr>
        <w:t xml:space="preserve"> </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As impugnações e pedidos de esclarecimentos não suspendem os prazos previstos no certame.</w:t>
      </w:r>
      <w:r>
        <w:rPr>
          <w:rFonts w:eastAsia="Arial"/>
          <w:color w:val="000000"/>
          <w:sz w:val="24"/>
          <w:szCs w:val="24"/>
        </w:rPr>
      </w:r>
    </w:p>
    <w:p>
      <w:pPr>
        <w:pStyle w:val="1056"/>
        <w:numPr>
          <w:ilvl w:val="2"/>
          <w:numId w:val="18"/>
        </w:numPr>
        <w:pBdr/>
        <w:tabs>
          <w:tab w:val="clear" w:leader="none" w:pos="720"/>
          <w:tab w:val="left" w:leader="none" w:pos="993"/>
          <w:tab w:val="left" w:leader="none" w:pos="1701"/>
        </w:tabs>
        <w:spacing w:line="276" w:lineRule="auto"/>
        <w:ind w:firstLine="0" w:left="0"/>
        <w:rPr>
          <w:rFonts w:eastAsia="Arial"/>
          <w:color w:val="000000"/>
          <w:sz w:val="24"/>
          <w:szCs w:val="24"/>
        </w:rPr>
      </w:pPr>
      <w:r>
        <w:rPr>
          <w:rFonts w:eastAsia="Arial"/>
          <w:color w:val="000000"/>
          <w:sz w:val="24"/>
          <w:szCs w:val="24"/>
        </w:rPr>
        <w:t xml:space="preserve">A concessão de efeito suspensivo à impugnação é medida excepcional e deverá ser motivada pelo agente de contratação, nos autos do processo de licitação.</w:t>
      </w:r>
      <w:r>
        <w:rPr>
          <w:rFonts w:eastAsia="Arial"/>
          <w:color w:val="000000"/>
          <w:sz w:val="24"/>
          <w:szCs w:val="24"/>
        </w:rPr>
      </w:r>
    </w:p>
    <w:p>
      <w:pPr>
        <w:pStyle w:val="1056"/>
        <w:numPr>
          <w:ilvl w:val="1"/>
          <w:numId w:val="18"/>
        </w:numPr>
        <w:pBdr/>
        <w:tabs>
          <w:tab w:val="clear" w:leader="none" w:pos="720"/>
          <w:tab w:val="left" w:leader="none" w:pos="993"/>
          <w:tab w:val="left" w:leader="none" w:pos="1701"/>
        </w:tabs>
        <w:spacing w:line="276" w:lineRule="auto"/>
        <w:ind w:firstLine="0" w:left="0"/>
        <w:rPr>
          <w:rFonts w:eastAsia="Arial"/>
          <w:color w:val="000000"/>
          <w:sz w:val="24"/>
          <w:szCs w:val="24"/>
        </w:rPr>
      </w:pPr>
      <w:r>
        <w:rPr>
          <w:rFonts w:eastAsia="Arial"/>
          <w:color w:val="000000"/>
          <w:sz w:val="24"/>
          <w:szCs w:val="24"/>
        </w:rPr>
        <w:t xml:space="preserve">Acolhida a impugnação, será definida e publicada nova data para a realização do certame.</w:t>
      </w:r>
      <w:bookmarkStart w:id="69" w:name="bookmark=id.43ky6rz"/>
      <w:r/>
      <w:r>
        <w:rPr>
          <w:rFonts w:eastAsia="Arial"/>
          <w:color w:val="000000"/>
          <w:sz w:val="24"/>
          <w:szCs w:val="24"/>
        </w:rPr>
      </w:r>
    </w:p>
    <w:p>
      <w:pPr>
        <w:pStyle w:val="1056"/>
        <w:numPr>
          <w:ilvl w:val="0"/>
          <w:numId w:val="18"/>
        </w:numPr>
        <w:pBdr/>
        <w:tabs>
          <w:tab w:val="left" w:leader="none" w:pos="567"/>
          <w:tab w:val="clear" w:leader="none" w:pos="720"/>
          <w:tab w:val="left" w:leader="none" w:pos="851"/>
        </w:tabs>
        <w:spacing w:after="240" w:before="120"/>
        <w:ind w:firstLine="0" w:left="0"/>
        <w:rPr>
          <w:rFonts w:eastAsia="Arial"/>
          <w:b/>
          <w:color w:val="000000"/>
          <w:sz w:val="24"/>
          <w:szCs w:val="24"/>
          <w:u w:val="single"/>
        </w:rPr>
      </w:pPr>
      <w:r/>
      <w:bookmarkEnd w:id="69"/>
      <w:r>
        <w:rPr>
          <w:rFonts w:eastAsia="Arial"/>
          <w:b/>
          <w:color w:val="000000"/>
          <w:sz w:val="24"/>
          <w:szCs w:val="24"/>
          <w:u w:val="single"/>
        </w:rPr>
        <w:t xml:space="preserve">CONDIÇÕES DE RECEBIMENTO DO OBJETO:</w:t>
      </w:r>
      <w:r>
        <w:rPr>
          <w:rFonts w:eastAsia="Arial"/>
          <w:b/>
          <w:color w:val="000000"/>
          <w:sz w:val="24"/>
          <w:szCs w:val="24"/>
          <w:u w:val="single"/>
        </w:rPr>
      </w:r>
    </w:p>
    <w:p>
      <w:pPr>
        <w:pStyle w:val="1056"/>
        <w:numPr>
          <w:ilvl w:val="1"/>
          <w:numId w:val="18"/>
        </w:numPr>
        <w:pBdr/>
        <w:tabs>
          <w:tab w:val="left" w:leader="none" w:pos="709"/>
          <w:tab w:val="clear" w:leader="none" w:pos="720"/>
        </w:tabs>
        <w:spacing w:after="0" w:before="120"/>
        <w:ind w:firstLine="0" w:left="0"/>
        <w:rPr>
          <w:rFonts w:eastAsia="Arial"/>
          <w:b/>
          <w:color w:val="000000"/>
          <w:sz w:val="24"/>
          <w:szCs w:val="24"/>
          <w:u w:val="single"/>
        </w:rPr>
      </w:pPr>
      <w:r>
        <w:rPr>
          <w:rFonts w:eastAsia="Arial"/>
          <w:b/>
          <w:color w:val="000000"/>
          <w:sz w:val="24"/>
          <w:szCs w:val="24"/>
          <w:u w:val="single"/>
        </w:rPr>
        <w:t xml:space="preserve">DO RECEBIMENTO DO(S) OBJETO(S):</w:t>
      </w:r>
      <w:r>
        <w:rPr>
          <w:rFonts w:eastAsia="Arial"/>
          <w:b/>
          <w:color w:val="000000"/>
          <w:sz w:val="24"/>
          <w:szCs w:val="24"/>
          <w:u w:val="single"/>
        </w:rPr>
      </w:r>
    </w:p>
    <w:p>
      <w:pPr>
        <w:pStyle w:val="1056"/>
        <w:pBdr/>
        <w:tabs>
          <w:tab w:val="left" w:leader="none" w:pos="709"/>
          <w:tab w:val="clear" w:leader="none" w:pos="720"/>
        </w:tabs>
        <w:spacing w:after="0" w:before="0"/>
        <w:ind/>
        <w:rPr>
          <w:rFonts w:eastAsia="Arial"/>
          <w:b/>
          <w:color w:val="000000"/>
          <w:sz w:val="24"/>
          <w:szCs w:val="24"/>
        </w:rPr>
      </w:pPr>
      <w:r>
        <w:rPr>
          <w:rFonts w:eastAsia="Arial"/>
          <w:b/>
          <w:color w:val="000000"/>
          <w:sz w:val="24"/>
          <w:szCs w:val="24"/>
        </w:rPr>
      </w:r>
      <w:r>
        <w:rPr>
          <w:rFonts w:eastAsia="Arial"/>
          <w:b/>
          <w:color w:val="000000"/>
          <w:sz w:val="24"/>
          <w:szCs w:val="24"/>
        </w:rPr>
      </w:r>
    </w:p>
    <w:p>
      <w:pPr>
        <w:pStyle w:val="1056"/>
        <w:numPr>
          <w:ilvl w:val="2"/>
          <w:numId w:val="18"/>
        </w:numPr>
        <w:pBdr/>
        <w:tabs>
          <w:tab w:val="left" w:leader="none" w:pos="709"/>
          <w:tab w:val="clear" w:leader="none" w:pos="720"/>
          <w:tab w:val="left" w:leader="none" w:pos="1134"/>
          <w:tab w:val="left" w:leader="none" w:pos="1560"/>
        </w:tabs>
        <w:spacing w:after="0" w:before="0"/>
        <w:ind w:firstLine="0" w:left="0"/>
        <w:rPr>
          <w:rFonts w:eastAsia="Arial"/>
          <w:b/>
          <w:color w:val="000000"/>
          <w:sz w:val="24"/>
          <w:szCs w:val="24"/>
        </w:rPr>
      </w:pPr>
      <w:r>
        <w:rPr>
          <w:rFonts w:eastAsia="Arial"/>
          <w:color w:val="000000"/>
          <w:sz w:val="24"/>
          <w:szCs w:val="24"/>
        </w:rPr>
        <w:t xml:space="preserve">Em se tratando de </w:t>
      </w:r>
      <w:r>
        <w:rPr>
          <w:rFonts w:eastAsia="Arial"/>
          <w:b/>
          <w:color w:val="000000"/>
          <w:sz w:val="24"/>
          <w:szCs w:val="24"/>
        </w:rPr>
        <w:t xml:space="preserve">compras ou de locação de equipamentos (art. 140, inciso II, alíneas “a” e “b”, Lei Federal 14.133/2021):</w:t>
      </w:r>
      <w:r>
        <w:rPr>
          <w:rFonts w:eastAsia="Arial"/>
          <w:b/>
          <w:color w:val="000000"/>
          <w:sz w:val="24"/>
          <w:szCs w:val="24"/>
        </w:rPr>
      </w:r>
    </w:p>
    <w:p>
      <w:pPr>
        <w:pStyle w:val="1056"/>
        <w:pBdr/>
        <w:tabs>
          <w:tab w:val="left" w:leader="none" w:pos="709"/>
          <w:tab w:val="clear" w:leader="none" w:pos="720"/>
          <w:tab w:val="left" w:leader="none" w:pos="1134"/>
        </w:tabs>
        <w:spacing w:after="0" w:before="0"/>
        <w:ind/>
        <w:rPr>
          <w:rFonts w:eastAsia="Arial"/>
          <w:b/>
          <w:color w:val="000000"/>
          <w:sz w:val="24"/>
          <w:szCs w:val="24"/>
        </w:rPr>
      </w:pPr>
      <w:r>
        <w:rPr>
          <w:rFonts w:eastAsia="Arial"/>
          <w:b/>
          <w:color w:val="000000"/>
          <w:sz w:val="24"/>
          <w:szCs w:val="24"/>
        </w:rPr>
      </w:r>
      <w:r>
        <w:rPr>
          <w:rFonts w:eastAsia="Arial"/>
          <w:b/>
          <w:color w:val="000000"/>
          <w:sz w:val="24"/>
          <w:szCs w:val="24"/>
        </w:rPr>
      </w:r>
    </w:p>
    <w:p>
      <w:pPr>
        <w:pStyle w:val="1056"/>
        <w:numPr>
          <w:ilvl w:val="3"/>
          <w:numId w:val="18"/>
        </w:numPr>
        <w:pBdr/>
        <w:tabs>
          <w:tab w:val="left" w:leader="none" w:pos="709"/>
          <w:tab w:val="clear" w:leader="none" w:pos="720"/>
          <w:tab w:val="left" w:leader="none" w:pos="1134"/>
        </w:tabs>
        <w:spacing w:after="0" w:before="0"/>
        <w:ind w:firstLine="0" w:left="0"/>
        <w:rPr>
          <w:rFonts w:eastAsia="Arial"/>
          <w:b/>
          <w:color w:val="000000"/>
          <w:sz w:val="24"/>
          <w:szCs w:val="24"/>
        </w:rPr>
      </w:pPr>
      <w:r>
        <w:rPr>
          <w:rFonts w:eastAsia="Arial"/>
          <w:b/>
          <w:color w:val="000000"/>
          <w:sz w:val="24"/>
          <w:szCs w:val="24"/>
        </w:rPr>
        <w:t xml:space="preserve">PROVISORIAMENTE</w:t>
      </w:r>
      <w:r>
        <w:rPr>
          <w:rFonts w:eastAsia="Arial"/>
          <w:i/>
          <w:color w:val="000000"/>
          <w:sz w:val="24"/>
          <w:szCs w:val="24"/>
        </w:rPr>
        <w:t xml:space="preserve">,</w:t>
      </w:r>
      <w:r>
        <w:rPr>
          <w:rFonts w:eastAsia="Arial"/>
          <w:color w:val="000000"/>
          <w:sz w:val="24"/>
          <w:szCs w:val="24"/>
        </w:rPr>
        <w:t xml:space="preserve"> de forma sumária, pelo responsável por seu acompanhamento e fiscalização, com verificação posterior da conformidade do material com as exigências contratuais;</w:t>
      </w:r>
      <w:r>
        <w:rPr>
          <w:rFonts w:eastAsia="Arial"/>
          <w:b/>
          <w:color w:val="000000"/>
          <w:sz w:val="24"/>
          <w:szCs w:val="24"/>
        </w:rPr>
      </w:r>
    </w:p>
    <w:p>
      <w:pPr>
        <w:pStyle w:val="1056"/>
        <w:pBdr/>
        <w:tabs>
          <w:tab w:val="left" w:leader="none" w:pos="709"/>
          <w:tab w:val="clear" w:leader="none" w:pos="720"/>
          <w:tab w:val="left" w:leader="none" w:pos="1134"/>
        </w:tabs>
        <w:spacing w:after="0" w:before="0"/>
        <w:ind/>
        <w:rPr>
          <w:rFonts w:eastAsia="Arial"/>
          <w:b/>
          <w:color w:val="000000"/>
          <w:sz w:val="24"/>
          <w:szCs w:val="24"/>
        </w:rPr>
      </w:pPr>
      <w:r>
        <w:rPr>
          <w:rFonts w:eastAsia="Arial"/>
          <w:b/>
          <w:color w:val="000000"/>
          <w:sz w:val="24"/>
          <w:szCs w:val="24"/>
        </w:rPr>
      </w:r>
      <w:r>
        <w:rPr>
          <w:rFonts w:eastAsia="Arial"/>
          <w:b/>
          <w:color w:val="000000"/>
          <w:sz w:val="24"/>
          <w:szCs w:val="24"/>
        </w:rPr>
      </w:r>
    </w:p>
    <w:p>
      <w:pPr>
        <w:pStyle w:val="1056"/>
        <w:numPr>
          <w:ilvl w:val="3"/>
          <w:numId w:val="18"/>
        </w:numPr>
        <w:pBdr/>
        <w:tabs>
          <w:tab w:val="left" w:leader="none" w:pos="709"/>
          <w:tab w:val="clear" w:leader="none" w:pos="720"/>
          <w:tab w:val="left" w:leader="none" w:pos="1134"/>
        </w:tabs>
        <w:spacing w:after="0" w:before="0"/>
        <w:ind w:firstLine="0" w:left="0"/>
        <w:rPr>
          <w:rFonts w:eastAsia="Arial"/>
          <w:b/>
          <w:color w:val="000000"/>
          <w:sz w:val="24"/>
          <w:szCs w:val="24"/>
        </w:rPr>
      </w:pPr>
      <w:r>
        <w:rPr>
          <w:rFonts w:eastAsia="Arial"/>
          <w:b/>
          <w:color w:val="000000"/>
          <w:sz w:val="24"/>
          <w:szCs w:val="24"/>
        </w:rPr>
        <w:t xml:space="preserve">DEFINITIVAMENTE</w:t>
      </w:r>
      <w:r>
        <w:rPr>
          <w:rFonts w:eastAsia="Arial"/>
          <w:i/>
          <w:color w:val="000000"/>
          <w:sz w:val="24"/>
          <w:szCs w:val="24"/>
        </w:rPr>
        <w:t xml:space="preserve">, </w:t>
      </w:r>
      <w:r>
        <w:rPr>
          <w:rFonts w:eastAsia="Arial"/>
          <w:color w:val="000000"/>
          <w:sz w:val="24"/>
          <w:szCs w:val="24"/>
        </w:rPr>
        <w:t xml:space="preserve">definitivamente, por servidor ou comissão designada pela autoridade competente, mediante termo detalhado que comprove o atendimento das exigências contratuais.</w:t>
      </w:r>
      <w:r>
        <w:rPr>
          <w:rFonts w:eastAsia="Arial"/>
          <w:b/>
          <w:color w:val="000000"/>
          <w:sz w:val="24"/>
          <w:szCs w:val="24"/>
        </w:rPr>
      </w:r>
    </w:p>
    <w:p>
      <w:pPr>
        <w:pStyle w:val="1056"/>
        <w:pBdr/>
        <w:tabs>
          <w:tab w:val="left" w:leader="none" w:pos="709"/>
          <w:tab w:val="clear" w:leader="none" w:pos="720"/>
        </w:tabs>
        <w:spacing w:after="0" w:before="0"/>
        <w:ind/>
        <w:rPr>
          <w:rFonts w:eastAsia="Arial"/>
          <w:b/>
          <w:color w:val="000000"/>
          <w:sz w:val="24"/>
          <w:szCs w:val="24"/>
        </w:rPr>
      </w:pPr>
      <w:r>
        <w:rPr>
          <w:rFonts w:eastAsia="Arial"/>
          <w:b/>
          <w:color w:val="000000"/>
          <w:sz w:val="24"/>
          <w:szCs w:val="24"/>
        </w:rPr>
      </w:r>
      <w:r>
        <w:rPr>
          <w:rFonts w:eastAsia="Arial"/>
          <w:b/>
          <w:color w:val="000000"/>
          <w:sz w:val="24"/>
          <w:szCs w:val="24"/>
        </w:rPr>
      </w:r>
    </w:p>
    <w:p>
      <w:pPr>
        <w:pStyle w:val="1056"/>
        <w:pBdr/>
        <w:tabs>
          <w:tab w:val="left" w:leader="none" w:pos="709"/>
          <w:tab w:val="clear" w:leader="none" w:pos="720"/>
          <w:tab w:val="left" w:leader="none" w:pos="993"/>
        </w:tabs>
        <w:spacing w:after="120" w:before="0"/>
        <w:ind/>
        <w:rPr>
          <w:rFonts w:eastAsia="Arial"/>
          <w:color w:val="000000"/>
          <w:sz w:val="24"/>
          <w:szCs w:val="24"/>
        </w:rPr>
      </w:pPr>
      <w:r>
        <w:rPr>
          <w:rFonts w:eastAsia="Arial"/>
          <w:b/>
          <w:color w:val="000000"/>
          <w:sz w:val="24"/>
          <w:szCs w:val="24"/>
        </w:rPr>
        <w:t xml:space="preserve">Obs¹</w:t>
      </w:r>
      <w:r>
        <w:rPr>
          <w:rFonts w:eastAsia="Arial"/>
          <w:color w:val="000000"/>
          <w:sz w:val="24"/>
          <w:szCs w:val="24"/>
        </w:rPr>
        <w:t xml:space="preserve">:  O</w:t>
      </w:r>
      <w:r>
        <w:rPr>
          <w:rFonts w:eastAsia="Arial"/>
          <w:color w:val="000000"/>
          <w:sz w:val="24"/>
          <w:szCs w:val="24"/>
        </w:rPr>
        <w:t xml:space="preserve"> recebimento provisório ou definitivo não excluirá a responsabilidade civil pela solidez e pela segurança da obra ou serviço nem a responsabilidade ético-profissional pela perfeita execução do contrato, nos limites estabelecidos pela lei ou pelo contrato (</w:t>
      </w:r>
      <w:r>
        <w:rPr>
          <w:rFonts w:eastAsia="Arial"/>
          <w:b/>
          <w:color w:val="000000"/>
          <w:sz w:val="24"/>
          <w:szCs w:val="24"/>
        </w:rPr>
        <w:t xml:space="preserve">art. 140, inciso II, § 2º, Lei Federal 14.133/2021)</w:t>
      </w:r>
      <w:r>
        <w:rPr>
          <w:rFonts w:eastAsia="Arial"/>
          <w:color w:val="000000"/>
          <w:sz w:val="24"/>
          <w:szCs w:val="24"/>
        </w:rPr>
        <w:t xml:space="preserve">.</w:t>
      </w:r>
      <w:r>
        <w:rPr>
          <w:rFonts w:eastAsia="Arial"/>
          <w:color w:val="000000"/>
          <w:sz w:val="24"/>
          <w:szCs w:val="24"/>
        </w:rPr>
      </w:r>
    </w:p>
    <w:p>
      <w:pPr>
        <w:pStyle w:val="1056"/>
        <w:pBdr/>
        <w:tabs>
          <w:tab w:val="clear" w:leader="none" w:pos="720"/>
          <w:tab w:val="left" w:leader="none" w:pos="993"/>
        </w:tabs>
        <w:spacing/>
        <w:ind/>
        <w:rPr>
          <w:rFonts w:eastAsia="Arial"/>
          <w:color w:val="000000"/>
          <w:sz w:val="24"/>
          <w:szCs w:val="24"/>
        </w:rPr>
      </w:pPr>
      <w:r>
        <w:rPr>
          <w:rFonts w:eastAsia="Arial"/>
          <w:color w:val="000000"/>
          <w:sz w:val="24"/>
          <w:szCs w:val="24"/>
        </w:rPr>
      </w:r>
      <w:r/>
      <w:bookmarkStart w:id="71" w:name="_heading=h.2iq8gzs"/>
      <w:r/>
      <w:bookmarkEnd w:id="71"/>
      <w:r/>
      <w:r>
        <w:rPr>
          <w:rFonts w:eastAsia="Arial"/>
          <w:color w:val="000000"/>
          <w:sz w:val="24"/>
          <w:szCs w:val="24"/>
        </w:rPr>
      </w:r>
    </w:p>
    <w:p>
      <w:pPr>
        <w:pStyle w:val="1056"/>
        <w:numPr>
          <w:ilvl w:val="0"/>
          <w:numId w:val="18"/>
        </w:numPr>
        <w:pBdr/>
        <w:tabs>
          <w:tab w:val="left" w:leader="none" w:pos="426"/>
          <w:tab w:val="clear" w:leader="none" w:pos="720"/>
          <w:tab w:val="left" w:leader="none" w:pos="851"/>
        </w:tabs>
        <w:spacing w:after="240" w:before="120"/>
        <w:ind w:firstLine="0" w:left="0"/>
        <w:rPr>
          <w:rFonts w:eastAsia="Arial"/>
          <w:b/>
          <w:color w:val="000000"/>
          <w:sz w:val="24"/>
          <w:szCs w:val="24"/>
          <w:u w:val="single"/>
        </w:rPr>
      </w:pPr>
      <w:r/>
      <w:bookmarkStart w:id="72" w:name="_heading=h.2iq8gzs_Copia_1"/>
      <w:r/>
      <w:bookmarkEnd w:id="72"/>
      <w:r>
        <w:rPr>
          <w:rFonts w:eastAsia="Arial"/>
          <w:color w:val="000000"/>
          <w:u w:val="single"/>
        </w:rPr>
        <w:t xml:space="preserve"> </w:t>
      </w:r>
      <w:r>
        <w:rPr>
          <w:rFonts w:eastAsia="Arial"/>
          <w:b/>
          <w:color w:val="000000"/>
          <w:sz w:val="24"/>
          <w:szCs w:val="24"/>
          <w:u w:val="single"/>
        </w:rPr>
        <w:t xml:space="preserve">DAS DISPOSIÇÕES GERAIS:</w:t>
      </w:r>
      <w:r>
        <w:rPr>
          <w:rFonts w:eastAsia="Arial"/>
          <w:b/>
          <w:color w:val="000000"/>
          <w:sz w:val="24"/>
          <w:szCs w:val="24"/>
          <w:u w:val="single"/>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Será divulgada ata da sessão pública no sistema eletrônico.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Não havendo expediente ou ocorrendo qualquer </w:t>
      </w:r>
      <w:r>
        <w:rPr>
          <w:rFonts w:eastAsia="Arial"/>
          <w:color w:val="000000"/>
          <w:sz w:val="24"/>
          <w:szCs w:val="24"/>
        </w:rPr>
        <w:t xml:space="preserve">fato superveniente que impeça a realização do certame na data marcada, a sessão será automaticamente transferida para o primeiro dia útil subsequente, no mesmo horário anteriormente estabelecido, desde que não haja comunicação em contrário, pelo Pregoeiro.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Todas as referências de tempo no Edital, no aviso e durante a sessão pública observarão o horário de Brasília - DF.</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homologação do resultado desta licitação não implicará direito à contratação.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licitantes assumem todos os custos de preparação e apresentação de suas propostas e a Administração não será, em nenhum caso, responsável por esses custos, independentemente da condução ou do resultado do processo licitatório.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Na contagem dos prazos estabelecidos neste Edital e seus Anexos, excluir-se-á o dia do início e incluir-se-á o do vencimento. Só se iniciam e vencem os prazos em dias de expediente na Administração.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desatendimento de exigências formais não essenciais não importará o afastamento do licitante, desde que seja possível o aproveitamento do ato, observados os princípios da isonomia e do interesse público.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Em caso de divergência entre disposições deste Edital e de seus anexos ou demais peças que compõem o processo, prevalecerá as deste Edital.</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Edital e seus anexos estão disponíveis, na íntegra, no Portal Nacional de Contratações Públicas (PNCP) e endereço eletrônico </w:t>
      </w:r>
      <w:hyperlink r:id="rId46" w:tooltip="http://www.riodasflores.rj.gov.br/" w:history="1">
        <w:r>
          <w:rPr>
            <w:rFonts w:eastAsia="Arial"/>
            <w:b/>
            <w:color w:val="000000"/>
            <w:sz w:val="24"/>
            <w:szCs w:val="24"/>
            <w:u w:val="single"/>
          </w:rPr>
          <w:t xml:space="preserve">www.riodasflores.rj.gov.br</w:t>
        </w:r>
      </w:hyperlink>
      <w:r>
        <w:rPr>
          <w:rFonts w:eastAsia="Arial"/>
          <w:color w:val="000000"/>
          <w:sz w:val="24"/>
          <w:szCs w:val="24"/>
        </w:rPr>
        <w:t xml:space="preserve">.</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O(a) Pregoeiro(a) poderá exigir testes de funcionamento, qualidade e rendimento, por conta do fornecedor, bem como garantia do material;</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Durante o período de entrega do(s) objeto(s), o(s) adjudicatário(s) deverá(ão) manter todas as condições de habilitação exigidas na licitação.</w:t>
      </w:r>
      <w:r>
        <w:rPr>
          <w:rFonts w:eastAsia="Arial"/>
          <w:color w:val="000000"/>
          <w:sz w:val="24"/>
          <w:szCs w:val="24"/>
        </w:rPr>
      </w:r>
    </w:p>
    <w:p>
      <w:pPr>
        <w:pStyle w:val="1056"/>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Quaisquer informações quanto aos termos deste PREGÃO ELETRÔNICO serão prestadas pelo(a) Pregoeiro(a), das 8:</w:t>
      </w:r>
      <w:r>
        <w:rPr>
          <w:rFonts w:eastAsia="Arial"/>
          <w:color w:val="000000"/>
          <w:sz w:val="24"/>
          <w:szCs w:val="24"/>
        </w:rPr>
        <w:t xml:space="preserve">00 às 11:30 e 13:00 às 16:00h, de 2ª a 6ª feira, exceto nos feriados do Município de Rio das Flores, do Estado do Rio Janeiro e Nacional, na Rua Cel. Eurico de Castro, nº 14, Centro, Rio das Flores/RJ, CEP: 27.660-000 - Telefone: (24) 2458-1328/Ramal: 210.</w:t>
      </w:r>
      <w:r>
        <w:rPr>
          <w:rFonts w:eastAsia="Arial"/>
          <w:color w:val="000000"/>
          <w:sz w:val="24"/>
          <w:szCs w:val="24"/>
        </w:rPr>
      </w:r>
    </w:p>
    <w:p>
      <w:pPr>
        <w:pStyle w:val="1056"/>
        <w:numPr>
          <w:ilvl w:val="1"/>
          <w:numId w:val="18"/>
        </w:numPr>
        <w:pBdr/>
        <w:spacing w:after="0" w:before="0"/>
        <w:ind w:firstLine="0" w:left="0"/>
        <w:rPr>
          <w:rFonts w:eastAsia="Arial"/>
          <w:color w:val="000000"/>
          <w:sz w:val="24"/>
          <w:szCs w:val="24"/>
        </w:rPr>
      </w:pPr>
      <w:r>
        <w:rPr>
          <w:rFonts w:eastAsia="Arial"/>
          <w:color w:val="000000"/>
          <w:sz w:val="24"/>
          <w:szCs w:val="24"/>
        </w:rPr>
        <w:t xml:space="preserve">Fica eleito o Foro da Comarca de Rio das Flores/RJ, para dirimir eventuais pendências oriundas da presente licitação.</w:t>
      </w:r>
      <w:r>
        <w:rPr>
          <w:rFonts w:eastAsia="Arial"/>
          <w:color w:val="000000"/>
          <w:sz w:val="24"/>
          <w:szCs w:val="24"/>
        </w:rPr>
      </w:r>
    </w:p>
    <w:p>
      <w:pPr>
        <w:pStyle w:val="1056"/>
        <w:pBdr/>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numPr>
          <w:ilvl w:val="0"/>
          <w:numId w:val="18"/>
        </w:numPr>
        <w:pBdr/>
        <w:tabs>
          <w:tab w:val="left" w:leader="none" w:pos="426"/>
          <w:tab w:val="left" w:leader="none" w:pos="709"/>
          <w:tab w:val="clear" w:leader="none" w:pos="720"/>
        </w:tabs>
        <w:spacing w:after="0" w:before="0"/>
        <w:ind w:firstLine="0" w:left="0"/>
        <w:rPr>
          <w:rFonts w:eastAsia="Arial"/>
          <w:color w:val="000000"/>
          <w:sz w:val="24"/>
          <w:szCs w:val="24"/>
          <w:u w:val="single"/>
        </w:rPr>
      </w:pPr>
      <w:r/>
      <w:bookmarkStart w:id="73" w:name="bookmark=id.xvir7l"/>
      <w:r/>
      <w:bookmarkEnd w:id="73"/>
      <w:r>
        <w:rPr>
          <w:rFonts w:eastAsia="Arial"/>
          <w:b/>
          <w:color w:val="000000"/>
          <w:sz w:val="24"/>
          <w:szCs w:val="24"/>
          <w:u w:val="single"/>
        </w:rPr>
        <w:t xml:space="preserve">DA ADJUDICAÇÃO E HOMOLOGAÇÃO:</w:t>
      </w:r>
      <w:r>
        <w:rPr>
          <w:rFonts w:eastAsia="Arial"/>
          <w:color w:val="000000"/>
          <w:sz w:val="24"/>
          <w:szCs w:val="24"/>
          <w:u w:val="single"/>
        </w:rPr>
      </w:r>
    </w:p>
    <w:p>
      <w:pPr>
        <w:pStyle w:val="1056"/>
        <w:pBdr/>
        <w:spacing w:after="0" w:before="0"/>
        <w:ind/>
        <w:rPr>
          <w:sz w:val="24"/>
          <w:szCs w:val="24"/>
        </w:rPr>
      </w:pPr>
      <w:r>
        <w:rPr>
          <w:sz w:val="24"/>
          <w:szCs w:val="24"/>
        </w:rPr>
      </w:r>
      <w:r>
        <w:rPr>
          <w:sz w:val="24"/>
          <w:szCs w:val="24"/>
        </w:rPr>
      </w:r>
    </w:p>
    <w:p>
      <w:pPr>
        <w:pStyle w:val="1056"/>
        <w:numPr>
          <w:ilvl w:val="1"/>
          <w:numId w:val="18"/>
        </w:numPr>
        <w:pBdr/>
        <w:spacing w:after="0" w:before="0"/>
        <w:ind w:firstLine="0" w:left="0"/>
        <w:rPr>
          <w:rFonts w:eastAsia="Arial"/>
          <w:color w:val="000000"/>
          <w:sz w:val="24"/>
          <w:szCs w:val="24"/>
        </w:rPr>
      </w:pPr>
      <w:r>
        <w:rPr>
          <w:rFonts w:eastAsia="Arial"/>
          <w:b/>
          <w:color w:val="000000"/>
          <w:sz w:val="24"/>
          <w:szCs w:val="24"/>
        </w:rPr>
        <w:t xml:space="preserve">Autoridade competente, </w:t>
      </w:r>
      <w:bookmarkStart w:id="74" w:name="bookmark=id.3hv69ve"/>
      <w:r/>
      <w:bookmarkEnd w:id="74"/>
      <w:r>
        <w:rPr>
          <w:rFonts w:eastAsia="Arial"/>
          <w:color w:val="000000"/>
          <w:sz w:val="24"/>
          <w:szCs w:val="24"/>
        </w:rPr>
        <w:t xml:space="preserve">decididos os recursos e constatada a regularidade dos atos praticados, a autoridade competente adjudicará o objeto e homologará o procedimento licitatório, nos termos do disposto no inciso V do </w:t>
      </w:r>
      <w:r>
        <w:rPr>
          <w:rFonts w:eastAsia="Arial"/>
          <w:b/>
          <w:color w:val="000000"/>
          <w:sz w:val="24"/>
          <w:szCs w:val="24"/>
        </w:rPr>
        <w:t xml:space="preserve">caput</w:t>
      </w:r>
      <w:r>
        <w:rPr>
          <w:rFonts w:eastAsia="Arial"/>
          <w:color w:val="000000"/>
          <w:sz w:val="24"/>
          <w:szCs w:val="24"/>
        </w:rPr>
        <w:t xml:space="preserve"> do art. 13 do Decreto Federal nº 10.024/2019.</w:t>
      </w:r>
      <w:r>
        <w:rPr>
          <w:rFonts w:eastAsia="Arial"/>
          <w:color w:val="000000"/>
          <w:sz w:val="24"/>
          <w:szCs w:val="24"/>
        </w:rPr>
      </w:r>
    </w:p>
    <w:p>
      <w:pPr>
        <w:pStyle w:val="1056"/>
        <w:pBdr/>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numPr>
          <w:ilvl w:val="1"/>
          <w:numId w:val="18"/>
        </w:numPr>
        <w:pBdr/>
        <w:spacing w:after="0" w:before="0"/>
        <w:ind w:firstLine="0" w:left="0"/>
        <w:rPr>
          <w:rFonts w:eastAsia="Arial"/>
          <w:color w:val="000000"/>
          <w:sz w:val="24"/>
          <w:szCs w:val="24"/>
        </w:rPr>
      </w:pPr>
      <w:r>
        <w:rPr>
          <w:rFonts w:eastAsia="Arial"/>
          <w:b/>
          <w:color w:val="000000"/>
          <w:sz w:val="24"/>
          <w:szCs w:val="24"/>
        </w:rPr>
        <w:t xml:space="preserve">Pregoeiro,</w:t>
      </w:r>
      <w:bookmarkStart w:id="75" w:name="bookmark=id.1x0gk37"/>
      <w:r/>
      <w:bookmarkEnd w:id="75"/>
      <w:r>
        <w:rPr>
          <w:rFonts w:eastAsia="Arial"/>
          <w:b/>
          <w:color w:val="000000"/>
          <w:sz w:val="24"/>
          <w:szCs w:val="24"/>
        </w:rPr>
        <w:t xml:space="preserve"> </w:t>
      </w:r>
      <w:r>
        <w:rPr>
          <w:rFonts w:eastAsia="Arial"/>
          <w:color w:val="000000"/>
          <w:sz w:val="24"/>
          <w:szCs w:val="24"/>
        </w:rPr>
        <w:t xml:space="preserve">na ausência de recurso, caberá ao pregoeiro adjudicar o objeto e encaminhar o processo devidamente instruído à autoridade superior e propor a homologação, nos termos do disposto no inciso IX do </w:t>
      </w:r>
      <w:r>
        <w:rPr>
          <w:rFonts w:eastAsia="Arial"/>
          <w:b/>
          <w:color w:val="000000"/>
          <w:sz w:val="24"/>
          <w:szCs w:val="24"/>
        </w:rPr>
        <w:t xml:space="preserve">caput</w:t>
      </w:r>
      <w:r>
        <w:rPr>
          <w:rFonts w:eastAsia="Arial"/>
          <w:color w:val="000000"/>
          <w:sz w:val="24"/>
          <w:szCs w:val="24"/>
        </w:rPr>
        <w:t xml:space="preserve"> do art. 17 do Decreto Federal nº 10.024/2019. </w:t>
      </w:r>
      <w:r>
        <w:rPr>
          <w:rFonts w:eastAsia="Arial"/>
          <w:color w:val="000000"/>
          <w:sz w:val="24"/>
          <w:szCs w:val="24"/>
        </w:rPr>
      </w:r>
    </w:p>
    <w:p>
      <w:pPr>
        <w:pStyle w:val="1056"/>
        <w:pBdr/>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numPr>
          <w:ilvl w:val="0"/>
          <w:numId w:val="18"/>
        </w:numPr>
        <w:pBdr/>
        <w:tabs>
          <w:tab w:val="left" w:leader="none" w:pos="426"/>
          <w:tab w:val="clear" w:leader="none" w:pos="720"/>
          <w:tab w:val="left" w:leader="none" w:pos="851"/>
        </w:tabs>
        <w:spacing w:after="0" w:before="0"/>
        <w:ind w:firstLine="0" w:left="0"/>
        <w:rPr>
          <w:rFonts w:eastAsia="Arial"/>
          <w:color w:val="000000"/>
          <w:sz w:val="24"/>
          <w:szCs w:val="24"/>
          <w:u w:val="single"/>
        </w:rPr>
      </w:pPr>
      <w:r/>
      <w:bookmarkStart w:id="76" w:name="bookmark=id.4h042r0"/>
      <w:r/>
      <w:bookmarkEnd w:id="76"/>
      <w:r>
        <w:rPr>
          <w:rFonts w:eastAsia="Arial"/>
          <w:b/>
          <w:color w:val="000000"/>
          <w:sz w:val="24"/>
          <w:szCs w:val="24"/>
          <w:u w:val="single"/>
        </w:rPr>
        <w:t xml:space="preserve">INTEGRAM ESTE EDITAL, PARA TODOS OS FINS E EFEITOS, OS SEGUINTES ANEXOS:</w:t>
      </w:r>
      <w:r>
        <w:rPr>
          <w:rFonts w:eastAsia="Arial"/>
          <w:color w:val="000000"/>
          <w:sz w:val="24"/>
          <w:szCs w:val="24"/>
          <w:u w:val="single"/>
        </w:rPr>
      </w:r>
    </w:p>
    <w:p>
      <w:pPr>
        <w:pStyle w:val="1056"/>
        <w:pBdr/>
        <w:tabs>
          <w:tab w:val="clear" w:leader="none" w:pos="720"/>
          <w:tab w:val="left" w:leader="none" w:pos="851"/>
        </w:tabs>
        <w:spacing w:after="0" w:before="0"/>
        <w:ind/>
        <w:rPr>
          <w:rFonts w:eastAsia="Arial"/>
          <w:color w:val="000000"/>
          <w:sz w:val="24"/>
          <w:szCs w:val="24"/>
          <w:u w:val="single"/>
        </w:rPr>
      </w:pPr>
      <w:r>
        <w:rPr>
          <w:rFonts w:eastAsia="Arial"/>
          <w:color w:val="000000"/>
          <w:sz w:val="24"/>
          <w:szCs w:val="24"/>
          <w:u w:val="single"/>
        </w:rPr>
      </w:r>
      <w:r>
        <w:rPr>
          <w:rFonts w:eastAsia="Arial"/>
          <w:color w:val="000000"/>
          <w:sz w:val="24"/>
          <w:szCs w:val="24"/>
          <w:u w:val="single"/>
        </w:rPr>
      </w:r>
    </w:p>
    <w:p>
      <w:pPr>
        <w:pStyle w:val="1056"/>
        <w:numPr>
          <w:ilvl w:val="1"/>
          <w:numId w:val="18"/>
        </w:numPr>
        <w:pBdr/>
        <w:tabs>
          <w:tab w:val="clear" w:leader="none" w:pos="720"/>
          <w:tab w:val="left" w:leader="none" w:pos="851"/>
          <w:tab w:val="left" w:leader="none" w:pos="1843"/>
        </w:tabs>
        <w:spacing w:after="0" w:before="0"/>
        <w:ind w:firstLine="0" w:left="0"/>
        <w:rPr>
          <w:rFonts w:eastAsia="Arial"/>
          <w:color w:val="000000"/>
          <w:sz w:val="24"/>
          <w:szCs w:val="24"/>
        </w:rPr>
      </w:pPr>
      <w:r>
        <w:rPr>
          <w:rFonts w:eastAsia="Arial"/>
          <w:color w:val="000000"/>
          <w:sz w:val="24"/>
          <w:szCs w:val="24"/>
        </w:rPr>
        <w:t xml:space="preserve">ANEXO I: Termo de Referência;</w:t>
      </w:r>
      <w:bookmarkStart w:id="77" w:name="bookmark=id.2w5ecyt"/>
      <w:r/>
      <w:bookmarkEnd w:id="77"/>
      <w:r/>
      <w:r>
        <w:rPr>
          <w:rFonts w:eastAsia="Arial"/>
          <w:color w:val="000000"/>
          <w:sz w:val="24"/>
          <w:szCs w:val="24"/>
        </w:rPr>
      </w:r>
    </w:p>
    <w:p>
      <w:pPr>
        <w:pStyle w:val="1056"/>
        <w:numPr>
          <w:ilvl w:val="1"/>
          <w:numId w:val="18"/>
        </w:numPr>
        <w:pBdr/>
        <w:tabs>
          <w:tab w:val="clear" w:leader="none" w:pos="720"/>
          <w:tab w:val="left" w:leader="none" w:pos="851"/>
          <w:tab w:val="left" w:leader="none" w:pos="1843"/>
        </w:tabs>
        <w:spacing w:after="0" w:before="0"/>
        <w:ind w:firstLine="0" w:left="0"/>
        <w:rPr>
          <w:rFonts w:eastAsia="Arial"/>
          <w:color w:val="000000"/>
          <w:sz w:val="24"/>
          <w:szCs w:val="24"/>
        </w:rPr>
      </w:pPr>
      <w:r>
        <w:rPr>
          <w:rFonts w:eastAsia="Arial"/>
          <w:color w:val="000000"/>
          <w:sz w:val="24"/>
          <w:szCs w:val="24"/>
        </w:rPr>
        <w:t xml:space="preserve">ANEXO II: Proposta modelo;</w:t>
      </w:r>
      <w:r>
        <w:rPr>
          <w:rFonts w:eastAsia="Arial"/>
          <w:color w:val="000000"/>
          <w:sz w:val="24"/>
          <w:szCs w:val="24"/>
        </w:rPr>
      </w:r>
    </w:p>
    <w:p>
      <w:pPr>
        <w:pStyle w:val="1056"/>
        <w:numPr>
          <w:ilvl w:val="1"/>
          <w:numId w:val="18"/>
        </w:numPr>
        <w:pBdr/>
        <w:tabs>
          <w:tab w:val="clear" w:leader="none" w:pos="720"/>
          <w:tab w:val="left" w:leader="none" w:pos="851"/>
          <w:tab w:val="left" w:leader="none" w:pos="1843"/>
        </w:tabs>
        <w:spacing w:after="0" w:before="0"/>
        <w:ind w:firstLine="0" w:left="0"/>
        <w:rPr>
          <w:rFonts w:eastAsia="Arial"/>
          <w:color w:val="000000"/>
          <w:sz w:val="24"/>
          <w:szCs w:val="24"/>
        </w:rPr>
      </w:pPr>
      <w:r>
        <w:rPr>
          <w:rFonts w:eastAsia="Arial"/>
          <w:color w:val="000000"/>
          <w:sz w:val="24"/>
          <w:szCs w:val="24"/>
        </w:rPr>
        <w:t xml:space="preserve">ANEXO III: Modelo de Declaração Unificada;</w:t>
      </w:r>
      <w:bookmarkStart w:id="78" w:name="bookmark=id.3vac5uf"/>
      <w:r/>
      <w:bookmarkStart w:id="79" w:name="bookmark=id.1baon6m"/>
      <w:r/>
      <w:bookmarkEnd w:id="78"/>
      <w:r/>
      <w:bookmarkEnd w:id="79"/>
      <w:r/>
      <w:r>
        <w:rPr>
          <w:rFonts w:eastAsia="Arial"/>
          <w:color w:val="000000"/>
          <w:sz w:val="24"/>
          <w:szCs w:val="24"/>
        </w:rPr>
      </w:r>
    </w:p>
    <w:p>
      <w:pPr>
        <w:pStyle w:val="1056"/>
        <w:numPr>
          <w:ilvl w:val="1"/>
          <w:numId w:val="18"/>
        </w:numPr>
        <w:pBdr/>
        <w:tabs>
          <w:tab w:val="clear" w:leader="none" w:pos="720"/>
          <w:tab w:val="left" w:leader="none" w:pos="851"/>
          <w:tab w:val="left" w:leader="none" w:pos="1843"/>
        </w:tabs>
        <w:spacing w:after="0" w:before="0"/>
        <w:ind w:firstLine="0" w:left="0"/>
        <w:rPr>
          <w:rFonts w:eastAsia="Arial"/>
          <w:color w:val="000000"/>
          <w:sz w:val="24"/>
          <w:szCs w:val="24"/>
        </w:rPr>
      </w:pPr>
      <w:r>
        <w:rPr>
          <w:rFonts w:eastAsia="Arial"/>
          <w:color w:val="000000"/>
          <w:sz w:val="24"/>
          <w:szCs w:val="24"/>
        </w:rPr>
        <w:t xml:space="preserve">ANEXO IV: Minuta da Ata de Registro de Preço</w:t>
      </w:r>
      <w:r>
        <w:rPr>
          <w:rFonts w:eastAsia="Arial"/>
          <w:color w:val="000000"/>
          <w:sz w:val="24"/>
          <w:szCs w:val="24"/>
        </w:rPr>
      </w:r>
    </w:p>
    <w:p>
      <w:pPr>
        <w:pStyle w:val="1056"/>
        <w:numPr>
          <w:ilvl w:val="1"/>
          <w:numId w:val="18"/>
        </w:numPr>
        <w:pBdr/>
        <w:tabs>
          <w:tab w:val="clear" w:leader="none" w:pos="720"/>
          <w:tab w:val="left" w:leader="none" w:pos="851"/>
          <w:tab w:val="left" w:leader="none" w:pos="1843"/>
        </w:tabs>
        <w:spacing w:after="0" w:before="0"/>
        <w:ind w:firstLine="0" w:left="0"/>
        <w:rPr>
          <w:rFonts w:eastAsia="Arial"/>
          <w:color w:val="000000"/>
          <w:sz w:val="24"/>
          <w:szCs w:val="24"/>
        </w:rPr>
      </w:pPr>
      <w:r>
        <w:rPr>
          <w:rFonts w:eastAsia="Arial"/>
          <w:color w:val="000000"/>
          <w:sz w:val="24"/>
          <w:szCs w:val="24"/>
        </w:rPr>
        <w:t xml:space="preserve">ANEXO V: Minuta do Cadastro de Reserva</w:t>
      </w:r>
      <w:r>
        <w:rPr>
          <w:rFonts w:eastAsia="Arial"/>
          <w:color w:val="000000"/>
          <w:sz w:val="24"/>
          <w:szCs w:val="24"/>
        </w:rPr>
      </w:r>
    </w:p>
    <w:p>
      <w:pPr>
        <w:pStyle w:val="1056"/>
        <w:numPr>
          <w:ilvl w:val="1"/>
          <w:numId w:val="18"/>
        </w:numPr>
        <w:pBdr/>
        <w:tabs>
          <w:tab w:val="clear" w:leader="none" w:pos="720"/>
          <w:tab w:val="left" w:leader="none" w:pos="851"/>
          <w:tab w:val="left" w:leader="none" w:pos="1843"/>
        </w:tabs>
        <w:spacing w:after="0" w:before="0"/>
        <w:ind w:firstLine="0" w:left="0"/>
        <w:rPr>
          <w:rFonts w:eastAsia="Arial"/>
          <w:color w:val="000000"/>
          <w:sz w:val="24"/>
          <w:szCs w:val="24"/>
        </w:rPr>
      </w:pPr>
      <w:r>
        <w:rPr>
          <w:rFonts w:eastAsia="Arial"/>
          <w:color w:val="000000"/>
          <w:sz w:val="24"/>
          <w:szCs w:val="24"/>
        </w:rPr>
        <w:t xml:space="preserve">ANEXO VI: Minuta do Futuro Contrato;</w:t>
      </w:r>
      <w:r>
        <w:rPr>
          <w:rFonts w:eastAsia="Arial"/>
          <w:color w:val="000000"/>
          <w:sz w:val="24"/>
          <w:szCs w:val="24"/>
        </w:rPr>
      </w:r>
    </w:p>
    <w:p>
      <w:pPr>
        <w:pStyle w:val="1056"/>
        <w:pBdr/>
        <w:tabs>
          <w:tab w:val="left" w:leader="none" w:pos="709"/>
          <w:tab w:val="clear" w:leader="none" w:pos="720"/>
          <w:tab w:val="left" w:leader="none" w:pos="1276"/>
          <w:tab w:val="left" w:leader="none" w:pos="1843"/>
        </w:tabs>
        <w:spacing/>
        <w:ind/>
        <w:jc w:val="right"/>
        <w:rPr>
          <w:sz w:val="24"/>
          <w:szCs w:val="24"/>
        </w:rPr>
      </w:pPr>
      <w:r>
        <w:rPr>
          <w:sz w:val="24"/>
          <w:szCs w:val="24"/>
        </w:rPr>
        <w:t xml:space="preserve">Rio das Flôres/RJ, 02  de abril de 2026.</w:t>
      </w:r>
      <w:r>
        <w:rPr>
          <w:sz w:val="24"/>
          <w:szCs w:val="24"/>
        </w:rPr>
      </w:r>
    </w:p>
    <w:p>
      <w:pPr>
        <w:pStyle w:val="1056"/>
        <w:pBdr/>
        <w:tabs>
          <w:tab w:val="left" w:leader="none" w:pos="709"/>
          <w:tab w:val="clear" w:leader="none" w:pos="720"/>
          <w:tab w:val="left" w:leader="none" w:pos="1276"/>
          <w:tab w:val="left" w:leader="none" w:pos="1843"/>
        </w:tabs>
        <w:spacing/>
        <w:ind/>
        <w:jc w:val="right"/>
        <w:rPr>
          <w:sz w:val="24"/>
          <w:szCs w:val="24"/>
        </w:rPr>
      </w:pPr>
      <w:r>
        <w:rPr>
          <w:sz w:val="24"/>
          <w:szCs w:val="24"/>
        </w:rPr>
      </w:r>
      <w:r>
        <w:rPr>
          <w:sz w:val="24"/>
          <w:szCs w:val="24"/>
        </w:rPr>
      </w:r>
    </w:p>
    <w:p>
      <w:pPr>
        <w:pStyle w:val="1056"/>
        <w:pBdr/>
        <w:spacing/>
        <w:ind/>
        <w:jc w:val="center"/>
        <w:rPr>
          <w:rFonts w:ascii="Arial" w:hAnsi="Arial" w:cs="Arial"/>
          <w:b/>
          <w:sz w:val="24"/>
          <w:szCs w:val="24"/>
        </w:rPr>
      </w:pPr>
      <w:r>
        <w:rPr>
          <w:rFonts w:cs="Arial"/>
          <w:b/>
          <w:sz w:val="24"/>
          <w:szCs w:val="24"/>
        </w:rPr>
      </w:r>
      <w:r>
        <w:rPr>
          <w:rFonts w:ascii="Arial" w:hAnsi="Arial" w:cs="Arial"/>
          <w:b/>
          <w:sz w:val="24"/>
          <w:szCs w:val="24"/>
        </w:rPr>
      </w:r>
    </w:p>
    <w:p>
      <w:pPr>
        <w:pStyle w:val="1056"/>
        <w:pBdr/>
        <w:spacing/>
        <w:ind/>
        <w:jc w:val="center"/>
        <w:rPr>
          <w:rFonts w:ascii="Arial" w:hAnsi="Arial" w:cs="Arial"/>
          <w:b/>
          <w:sz w:val="24"/>
          <w:szCs w:val="24"/>
        </w:rPr>
      </w:pPr>
      <w:r>
        <w:rPr>
          <w:rFonts w:cs="Arial"/>
          <w:b/>
          <w:sz w:val="24"/>
          <w:szCs w:val="24"/>
        </w:rPr>
        <w:t xml:space="preserve">Mário Vasconcellos Fernandes</w:t>
      </w:r>
      <w:r>
        <w:rPr>
          <w:rFonts w:ascii="Arial" w:hAnsi="Arial" w:cs="Arial"/>
          <w:b/>
          <w:sz w:val="24"/>
          <w:szCs w:val="24"/>
        </w:rPr>
      </w:r>
    </w:p>
    <w:p>
      <w:pPr>
        <w:pStyle w:val="1056"/>
        <w:pBdr/>
        <w:spacing/>
        <w:ind/>
        <w:jc w:val="center"/>
        <w:rPr>
          <w:rFonts w:ascii="Arial" w:hAnsi="Arial" w:cs="Arial"/>
          <w:b/>
          <w:sz w:val="24"/>
          <w:szCs w:val="24"/>
        </w:rPr>
      </w:pPr>
      <w:r>
        <w:rPr>
          <w:rFonts w:cs="Arial"/>
          <w:b/>
          <w:sz w:val="24"/>
          <w:szCs w:val="24"/>
        </w:rPr>
        <w:t xml:space="preserve">Secretária Municipal de Governo</w:t>
      </w:r>
      <w:r>
        <w:rPr>
          <w:rFonts w:ascii="Arial" w:hAnsi="Arial" w:cs="Arial"/>
          <w:b/>
          <w:sz w:val="24"/>
          <w:szCs w:val="24"/>
        </w:rPr>
      </w:r>
      <w:r>
        <w:rPr>
          <w:sz w:val="24"/>
          <w:szCs w:val="24"/>
        </w:rPr>
      </w:r>
      <w:r>
        <w:rPr>
          <w:sz w:val="24"/>
          <w:szCs w:val="24"/>
        </w:rPr>
      </w:r>
      <w:r>
        <w:rPr>
          <w:rFonts w:ascii="Arial" w:hAnsi="Arial" w:cs="Arial"/>
          <w:b/>
          <w:sz w:val="24"/>
          <w:szCs w:val="24"/>
        </w:rPr>
      </w:r>
    </w:p>
    <w:p>
      <w:pPr>
        <w:pStyle w:val="1056"/>
        <w:pBdr/>
        <w:spacing/>
        <w:ind/>
        <w:jc w:val="center"/>
        <w:rPr>
          <w:sz w:val="24"/>
          <w:szCs w:val="24"/>
        </w:rPr>
      </w:pPr>
      <w:r>
        <w:rPr>
          <w:sz w:val="24"/>
          <w:szCs w:val="24"/>
        </w:rPr>
      </w:r>
      <w:r>
        <w:rPr>
          <w:sz w:val="24"/>
          <w:szCs w:val="24"/>
        </w:rPr>
      </w:r>
    </w:p>
    <w:p>
      <w:pPr>
        <w:pStyle w:val="1056"/>
        <w:pBdr/>
        <w:spacing w:line="360" w:lineRule="auto"/>
        <w:ind/>
        <w:jc w:val="center"/>
        <w:rPr>
          <w:sz w:val="24"/>
          <w:szCs w:val="24"/>
        </w:rPr>
      </w:pPr>
      <w:r>
        <w:rPr>
          <w:rFonts w:cs="Arial"/>
          <w:b/>
          <w:sz w:val="24"/>
          <w:szCs w:val="24"/>
          <w:u w:val="single"/>
        </w:rPr>
        <w:t xml:space="preserve">T</w:t>
      </w:r>
      <w:r>
        <w:rPr>
          <w:rFonts w:cs="Arial"/>
          <w:b/>
          <w:color w:val="000000"/>
          <w:sz w:val="24"/>
          <w:szCs w:val="24"/>
          <w:u w:val="single"/>
        </w:rPr>
        <w:t xml:space="preserve">ERMO DE REFERÊNCIA</w:t>
      </w:r>
      <w:r>
        <w:rPr>
          <w:rFonts w:cs="Arial"/>
          <w:b/>
          <w:color w:val="000000"/>
          <w:sz w:val="24"/>
          <w:szCs w:val="24"/>
        </w:rPr>
        <w:t xml:space="preserve"> </w:t>
      </w:r>
      <w:r>
        <w:rPr>
          <w:sz w:val="24"/>
          <w:szCs w:val="24"/>
        </w:rPr>
      </w:r>
    </w:p>
    <w:p>
      <w:pPr>
        <w:pStyle w:val="1056"/>
        <w:numPr>
          <w:ilvl w:val="0"/>
          <w:numId w:val="19"/>
        </w:numPr>
        <w:pBdr/>
        <w:spacing w:line="360" w:lineRule="auto"/>
        <w:ind w:right="695" w:hanging="284" w:left="993"/>
        <w:rPr>
          <w:rFonts w:ascii="Arial" w:hAnsi="Arial" w:cs="Arial"/>
          <w:color w:val="000000"/>
          <w:sz w:val="24"/>
          <w:szCs w:val="24"/>
        </w:rPr>
      </w:pPr>
      <w:r>
        <w:rPr>
          <w:rFonts w:cs="Arial"/>
          <w:b/>
          <w:color w:val="000000"/>
          <w:sz w:val="24"/>
          <w:szCs w:val="24"/>
        </w:rPr>
        <w:t xml:space="preserve">DO OBJETO </w:t>
      </w:r>
      <w:r>
        <w:rPr>
          <w:rFonts w:cs="Arial"/>
          <w:color w:val="000000"/>
          <w:sz w:val="24"/>
          <w:szCs w:val="24"/>
        </w:rPr>
        <w:t xml:space="preserve">(</w:t>
      </w:r>
      <w:r>
        <w:rPr>
          <w:rFonts w:cs="Arial"/>
          <w:color w:val="00b050"/>
          <w:sz w:val="24"/>
          <w:szCs w:val="24"/>
          <w:lang w:val="en-US"/>
        </w:rPr>
        <w:t xml:space="preserve">Art. 6º, XXIII, “a” da Lei 14.133/21)</w:t>
      </w:r>
      <w:r>
        <w:rPr>
          <w:rFonts w:ascii="Arial" w:hAnsi="Arial" w:cs="Arial"/>
          <w:color w:val="000000"/>
          <w:sz w:val="24"/>
          <w:szCs w:val="24"/>
        </w:rPr>
      </w:r>
    </w:p>
    <w:p>
      <w:pPr>
        <w:pStyle w:val="1056"/>
        <w:pBdr/>
        <w:tabs>
          <w:tab w:val="left" w:leader="none" w:pos="129"/>
          <w:tab w:val="clear" w:leader="none" w:pos="720"/>
        </w:tabs>
        <w:spacing w:line="360" w:lineRule="auto"/>
        <w:ind w:right="-120" w:firstLine="283"/>
        <w:jc w:val="both"/>
        <w:rPr>
          <w:rFonts w:ascii="Arial" w:hAnsi="Arial" w:cs="Arial"/>
          <w:sz w:val="24"/>
          <w:szCs w:val="24"/>
        </w:rPr>
      </w:pPr>
      <w:r>
        <w:rPr>
          <w:rFonts w:cs="Arial"/>
          <w:sz w:val="24"/>
          <w:szCs w:val="24"/>
        </w:rPr>
        <w:t xml:space="preserve">O presente Termo de Referência tem por objeto a futura e eventual contratação de empresa especializada na prestação de servi</w:t>
      </w:r>
      <w:r>
        <w:rPr>
          <w:rFonts w:cs="Arial"/>
          <w:sz w:val="24"/>
          <w:szCs w:val="24"/>
        </w:rPr>
        <w:t xml:space="preserve">ços de dedetização e controle de vetores, incluindo desratização, descupinização, desinsetização, controle de escorpiões e expurgo, por meio de processos de pulverização, injeção de inseticidas e aplicação de iscas atrativas nos locais de maior infestação.</w:t>
      </w:r>
      <w:r>
        <w:rPr>
          <w:rFonts w:ascii="Arial" w:hAnsi="Arial" w:cs="Arial"/>
          <w:sz w:val="24"/>
          <w:szCs w:val="24"/>
        </w:rPr>
      </w:r>
    </w:p>
    <w:p>
      <w:pPr>
        <w:pStyle w:val="1056"/>
        <w:pBdr/>
        <w:tabs>
          <w:tab w:val="left" w:leader="none" w:pos="129"/>
          <w:tab w:val="clear" w:leader="none" w:pos="720"/>
        </w:tabs>
        <w:spacing w:line="360" w:lineRule="auto"/>
        <w:ind w:right="-120" w:firstLine="283"/>
        <w:jc w:val="both"/>
        <w:rPr>
          <w:rFonts w:ascii="Arial" w:hAnsi="Arial" w:cs="Arial"/>
          <w:sz w:val="24"/>
          <w:szCs w:val="24"/>
        </w:rPr>
      </w:pPr>
      <w:r>
        <w:rPr>
          <w:rFonts w:cs="Arial"/>
          <w:sz w:val="24"/>
          <w:szCs w:val="24"/>
        </w:rPr>
        <w:t xml:space="preserve">Os serviços visam ao combate e controle de pragas urbanas, como baratas, formigas, mosquitos, pulgas, roedores e cupins d</w:t>
      </w:r>
      <w:r>
        <w:rPr>
          <w:rFonts w:cs="Arial"/>
          <w:sz w:val="24"/>
          <w:szCs w:val="24"/>
        </w:rPr>
        <w:t xml:space="preserve">a espécie Coptotermes Gestroi (cupim subterrâneo), visando à manutenção preventiva e corretiva dos prédios públicos municipais, bem como o atendimento das demandas da Prefeitura, Fundos e demais setores da Administração Pública Municipal de Rio das Flores.</w:t>
      </w:r>
      <w:r>
        <w:rPr>
          <w:rFonts w:ascii="Arial" w:hAnsi="Arial" w:cs="Arial"/>
          <w:sz w:val="24"/>
          <w:szCs w:val="24"/>
        </w:rPr>
      </w:r>
    </w:p>
    <w:p>
      <w:pPr>
        <w:pStyle w:val="1056"/>
        <w:pBdr/>
        <w:tabs>
          <w:tab w:val="left" w:leader="none" w:pos="129"/>
          <w:tab w:val="clear" w:leader="none" w:pos="720"/>
        </w:tabs>
        <w:spacing w:line="360" w:lineRule="auto"/>
        <w:ind w:right="-120" w:firstLine="283"/>
        <w:jc w:val="both"/>
        <w:rPr>
          <w:rFonts w:ascii="Arial" w:hAnsi="Arial" w:cs="Arial"/>
          <w:sz w:val="24"/>
          <w:szCs w:val="24"/>
        </w:rPr>
      </w:pPr>
      <w:r>
        <w:rPr>
          <w:rFonts w:cs="Arial"/>
          <w:sz w:val="24"/>
          <w:szCs w:val="24"/>
        </w:rPr>
        <w:t xml:space="preserve">A contratação se dará por meio de Pregão Eletrônico, no sistema Registro de Preços, com validade de 12 (doze) meses, conforme condições, quantidades e exigências estabelecidas neste Termo de Referência.</w:t>
      </w:r>
      <w:r>
        <w:rPr>
          <w:rFonts w:ascii="Arial" w:hAnsi="Arial" w:cs="Arial"/>
          <w:sz w:val="24"/>
          <w:szCs w:val="24"/>
        </w:rPr>
      </w:r>
    </w:p>
    <w:p>
      <w:pPr>
        <w:pStyle w:val="1249"/>
        <w:pBdr/>
        <w:tabs>
          <w:tab w:val="left" w:leader="none" w:pos="284"/>
          <w:tab w:val="clear" w:leader="none" w:pos="720"/>
        </w:tabs>
        <w:spacing w:after="0" w:before="0" w:line="360" w:lineRule="auto"/>
        <w:ind w:right="695" w:left="0"/>
        <w:jc w:val="both"/>
        <w:rPr>
          <w:rFonts w:ascii="Arial" w:hAnsi="Arial"/>
          <w:sz w:val="24"/>
          <w:szCs w:val="24"/>
        </w:rPr>
      </w:pPr>
      <w:r>
        <w:rPr>
          <w:rFonts w:ascii="Arial" w:hAnsi="Arial"/>
          <w:sz w:val="24"/>
          <w:szCs w:val="24"/>
        </w:rPr>
      </w:r>
      <w:r>
        <w:rPr>
          <w:rFonts w:ascii="Arial" w:hAnsi="Arial"/>
          <w:sz w:val="24"/>
          <w:szCs w:val="24"/>
        </w:rPr>
      </w:r>
    </w:p>
    <w:p>
      <w:pPr>
        <w:pStyle w:val="1210"/>
        <w:numPr>
          <w:ilvl w:val="1"/>
          <w:numId w:val="20"/>
        </w:numPr>
        <w:pBdr/>
        <w:spacing w:line="360" w:lineRule="auto"/>
        <w:ind w:right="695" w:hanging="153" w:left="993"/>
        <w:rPr>
          <w:rFonts w:ascii="Arial" w:hAnsi="Arial" w:cs="Arial"/>
          <w:color w:val="000000"/>
          <w:sz w:val="24"/>
          <w:szCs w:val="24"/>
        </w:rPr>
      </w:pPr>
      <w:r>
        <w:rPr>
          <w:rFonts w:cs="Arial"/>
          <w:b/>
          <w:sz w:val="24"/>
          <w:szCs w:val="24"/>
        </w:rPr>
        <w:t xml:space="preserve">ITENS:</w:t>
      </w:r>
      <w:r>
        <w:rPr>
          <w:rFonts w:ascii="Arial" w:hAnsi="Arial" w:cs="Arial"/>
          <w:color w:val="000000"/>
          <w:sz w:val="24"/>
          <w:szCs w:val="24"/>
        </w:rPr>
      </w:r>
    </w:p>
    <w:p>
      <w:pPr>
        <w:pStyle w:val="1056"/>
        <w:pBdr/>
        <w:tabs>
          <w:tab w:val="left" w:leader="none" w:pos="129"/>
          <w:tab w:val="clear" w:leader="none" w:pos="720"/>
          <w:tab w:val="left" w:leader="none" w:pos="5040"/>
        </w:tabs>
        <w:spacing w:line="360" w:lineRule="auto"/>
        <w:ind w:right="695" w:hanging="855" w:left="993"/>
        <w:jc w:val="both"/>
        <w:rPr>
          <w:rFonts w:ascii="Arial" w:hAnsi="Arial" w:cs="Arial"/>
          <w:sz w:val="24"/>
          <w:szCs w:val="24"/>
        </w:rPr>
      </w:pPr>
      <w:r>
        <w:rPr>
          <w:rFonts w:cs="Arial"/>
          <w:sz w:val="24"/>
          <w:szCs w:val="24"/>
        </w:rPr>
        <w:tab/>
        <w:t xml:space="preserve">O objeto foi especificado conforme tabela abaixo:</w:t>
        <w:tab/>
      </w:r>
      <w:r>
        <w:rPr>
          <w:rFonts w:ascii="Arial" w:hAnsi="Arial" w:cs="Arial"/>
          <w:sz w:val="24"/>
          <w:szCs w:val="24"/>
        </w:rPr>
      </w:r>
    </w:p>
    <w:tbl>
      <w:tblPr>
        <w:tblStyle w:val="1380"/>
        <w:tblInd w:w="-93" w:type="dxa"/>
        <w:tblW w:w="10229" w:type="dxa"/>
        <w:tblCellMar>
          <w:left w:w="15" w:type="dxa"/>
          <w:top w:w="15" w:type="dxa"/>
          <w:right w:w="15" w:type="dxa"/>
          <w:bottom w:w="15" w:type="dxa"/>
        </w:tblCellMar>
        <w:tblBorders/>
        <w:tblLayout w:type="fixed"/>
        <w:tblLook w:val="04A0" w:firstRow="1" w:lastRow="0" w:firstColumn="1" w:lastColumn="0" w:noHBand="0" w:noVBand="1"/>
      </w:tblPr>
      <w:tblGrid>
        <w:gridCol w:w="57"/>
        <w:gridCol w:w="56"/>
        <w:gridCol w:w="57"/>
        <w:gridCol w:w="58"/>
        <w:gridCol w:w="57"/>
        <w:gridCol w:w="149"/>
        <w:gridCol w:w="9"/>
        <w:gridCol w:w="58"/>
        <w:gridCol w:w="10"/>
        <w:gridCol w:w="56"/>
        <w:gridCol w:w="50"/>
        <w:gridCol w:w="58"/>
        <w:gridCol w:w="231"/>
        <w:gridCol w:w="61"/>
        <w:gridCol w:w="463"/>
        <w:gridCol w:w="138"/>
        <w:gridCol w:w="301"/>
        <w:gridCol w:w="93"/>
        <w:gridCol w:w="41"/>
        <w:gridCol w:w="58"/>
        <w:gridCol w:w="57"/>
        <w:gridCol w:w="57"/>
        <w:gridCol w:w="56"/>
        <w:gridCol w:w="58"/>
        <w:gridCol w:w="57"/>
        <w:gridCol w:w="56"/>
        <w:gridCol w:w="44"/>
        <w:gridCol w:w="14"/>
        <w:gridCol w:w="169"/>
        <w:gridCol w:w="11"/>
        <w:gridCol w:w="29"/>
        <w:gridCol w:w="18"/>
        <w:gridCol w:w="165"/>
        <w:gridCol w:w="58"/>
        <w:gridCol w:w="255"/>
        <w:gridCol w:w="150"/>
        <w:gridCol w:w="57"/>
        <w:gridCol w:w="902"/>
        <w:gridCol w:w="64"/>
        <w:gridCol w:w="57"/>
        <w:gridCol w:w="57"/>
        <w:gridCol w:w="152"/>
        <w:gridCol w:w="57"/>
        <w:gridCol w:w="156"/>
        <w:gridCol w:w="79"/>
        <w:gridCol w:w="57"/>
        <w:gridCol w:w="197"/>
        <w:gridCol w:w="1357"/>
        <w:gridCol w:w="402"/>
        <w:gridCol w:w="57"/>
        <w:gridCol w:w="4"/>
        <w:gridCol w:w="96"/>
        <w:gridCol w:w="53"/>
        <w:gridCol w:w="57"/>
        <w:gridCol w:w="57"/>
        <w:gridCol w:w="57"/>
        <w:gridCol w:w="57"/>
        <w:gridCol w:w="170"/>
        <w:gridCol w:w="1875"/>
        <w:gridCol w:w="56"/>
        <w:gridCol w:w="57"/>
        <w:gridCol w:w="68"/>
        <w:gridCol w:w="10"/>
        <w:gridCol w:w="36"/>
        <w:gridCol w:w="10"/>
        <w:gridCol w:w="46"/>
        <w:gridCol w:w="11"/>
        <w:gridCol w:w="21"/>
        <w:gridCol w:w="25"/>
        <w:gridCol w:w="12"/>
        <w:gridCol w:w="46"/>
        <w:gridCol w:w="11"/>
        <w:gridCol w:w="46"/>
        <w:gridCol w:w="10"/>
        <w:gridCol w:w="46"/>
        <w:gridCol w:w="11"/>
        <w:gridCol w:w="47"/>
        <w:gridCol w:w="11"/>
        <w:gridCol w:w="56"/>
        <w:gridCol w:w="133"/>
        <w:gridCol w:w="68"/>
      </w:tblGrid>
      <w:tr>
        <w:trPr>
          <w:trHeight w:val="296"/>
        </w:trPr>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sz w:val="20"/>
                <w:szCs w:val="20"/>
              </w:rPr>
            </w:pPr>
            <w:r>
              <w:rPr>
                <w:sz w:val="20"/>
                <w:szCs w:val="20"/>
              </w:rPr>
            </w:r>
            <w:r>
              <w:rPr>
                <w:sz w:val="20"/>
                <w:szCs w:val="20"/>
              </w:rPr>
            </w:r>
          </w:p>
        </w:tc>
        <w:tc>
          <w:tcPr>
            <w:gridSpan w:val="10"/>
            <w:shd w:val="clear" w:color="ffffff" w:fill="ffffff"/>
            <w:tcBorders>
              <w:top w:val="single" w:color="000000" w:sz="12" w:space="0"/>
              <w:left w:val="single" w:color="000000" w:sz="12" w:space="0"/>
              <w:bottom w:val="single" w:color="000000" w:sz="12" w:space="0"/>
              <w:right w:val="single" w:color="000000" w:sz="12" w:space="0"/>
            </w:tcBorders>
            <w:tcW w:w="560" w:type="dxa"/>
            <w:vAlign w:val="center"/>
            <w:textDirection w:val="lrTb"/>
            <w:noWrap w:val="false"/>
          </w:tcPr>
          <w:p>
            <w:pPr>
              <w:pStyle w:val="1056"/>
              <w:pBdr/>
              <w:spacing w:after="120" w:before="120"/>
              <w:ind/>
              <w:jc w:val="center"/>
              <w:rPr>
                <w:rFonts w:ascii="Arial" w:hAnsi="Arial" w:cs="Arial"/>
                <w:sz w:val="20"/>
                <w:szCs w:val="20"/>
              </w:rPr>
            </w:pPr>
            <w:r>
              <w:rPr>
                <w:rFonts w:eastAsia="Arial" w:cs="Arial"/>
                <w:color w:val="000000"/>
                <w:sz w:val="20"/>
                <w:szCs w:val="20"/>
              </w:rPr>
              <w:t xml:space="preserve">Item</w:t>
            </w:r>
            <w:r>
              <w:rPr>
                <w:rFonts w:ascii="Arial" w:hAnsi="Arial" w:cs="Arial"/>
                <w:sz w:val="20"/>
                <w:szCs w:val="20"/>
              </w:rPr>
            </w:r>
          </w:p>
        </w:tc>
        <w:tc>
          <w:tcPr>
            <w:gridSpan w:val="8"/>
            <w:shd w:val="clear" w:color="ffffff" w:fill="ffffff"/>
            <w:tcBorders>
              <w:top w:val="single" w:color="000000" w:sz="12" w:space="0"/>
              <w:left w:val="single" w:color="000000" w:sz="12" w:space="0"/>
              <w:bottom w:val="single" w:color="000000" w:sz="12" w:space="0"/>
              <w:right w:val="single" w:color="000000" w:sz="12" w:space="0"/>
            </w:tcBorders>
            <w:tcW w:w="1386" w:type="dxa"/>
            <w:vAlign w:val="center"/>
            <w:textDirection w:val="lrTb"/>
            <w:noWrap w:val="false"/>
          </w:tcPr>
          <w:p>
            <w:pPr>
              <w:pStyle w:val="1056"/>
              <w:pBdr/>
              <w:spacing w:after="120" w:before="120"/>
              <w:ind/>
              <w:jc w:val="center"/>
              <w:rPr>
                <w:rFonts w:ascii="Arial" w:hAnsi="Arial" w:cs="Arial"/>
                <w:sz w:val="20"/>
                <w:szCs w:val="20"/>
              </w:rPr>
            </w:pPr>
            <w:r>
              <w:rPr>
                <w:rFonts w:eastAsia="Arial" w:cs="Arial"/>
                <w:color w:val="000000"/>
                <w:sz w:val="20"/>
                <w:szCs w:val="20"/>
              </w:rPr>
              <w:t xml:space="preserve">Quantidade</w:t>
            </w:r>
            <w:r>
              <w:rPr>
                <w:rFonts w:ascii="Arial" w:hAnsi="Arial" w:cs="Arial"/>
                <w:sz w:val="20"/>
                <w:szCs w:val="20"/>
              </w:rPr>
            </w:r>
          </w:p>
        </w:tc>
        <w:tc>
          <w:tcPr>
            <w:gridSpan w:val="11"/>
            <w:shd w:val="clear" w:color="ffffff" w:fill="ffffff"/>
            <w:tcBorders>
              <w:top w:val="single" w:color="000000" w:sz="12" w:space="0"/>
              <w:left w:val="single" w:color="000000" w:sz="12" w:space="0"/>
              <w:bottom w:val="single" w:color="000000" w:sz="12" w:space="0"/>
              <w:right w:val="single" w:color="000000" w:sz="12" w:space="0"/>
            </w:tcBorders>
            <w:tcW w:w="637" w:type="dxa"/>
            <w:vAlign w:val="center"/>
            <w:textDirection w:val="lrTb"/>
            <w:noWrap w:val="false"/>
          </w:tcPr>
          <w:p>
            <w:pPr>
              <w:pStyle w:val="1056"/>
              <w:pBdr/>
              <w:spacing w:after="120" w:before="120"/>
              <w:ind/>
              <w:jc w:val="center"/>
              <w:rPr>
                <w:rFonts w:ascii="Arial" w:hAnsi="Arial" w:cs="Arial"/>
                <w:sz w:val="20"/>
                <w:szCs w:val="20"/>
              </w:rPr>
            </w:pPr>
            <w:r>
              <w:rPr>
                <w:rFonts w:eastAsia="Arial" w:cs="Arial"/>
                <w:color w:val="000000"/>
                <w:sz w:val="20"/>
                <w:szCs w:val="20"/>
              </w:rPr>
              <w:t xml:space="preserve">Unid.</w:t>
            </w:r>
            <w:r>
              <w:rPr>
                <w:rFonts w:ascii="Arial" w:hAnsi="Arial" w:cs="Arial"/>
                <w:sz w:val="20"/>
                <w:szCs w:val="20"/>
              </w:rPr>
            </w:r>
          </w:p>
        </w:tc>
        <w:tc>
          <w:tcPr>
            <w:gridSpan w:val="14"/>
            <w:shd w:val="clear" w:color="ffffff" w:fill="ffffff"/>
            <w:tcBorders>
              <w:top w:val="single" w:color="000000" w:sz="12" w:space="0"/>
              <w:left w:val="single" w:color="000000" w:sz="12" w:space="0"/>
              <w:bottom w:val="single" w:color="000000" w:sz="12" w:space="0"/>
              <w:right w:val="single" w:color="000000" w:sz="12" w:space="0"/>
            </w:tcBorders>
            <w:tcW w:w="2177" w:type="dxa"/>
            <w:vAlign w:val="center"/>
            <w:textDirection w:val="lrTb"/>
            <w:noWrap w:val="false"/>
          </w:tcPr>
          <w:p>
            <w:pPr>
              <w:pStyle w:val="1056"/>
              <w:pBdr/>
              <w:spacing w:after="120" w:before="120"/>
              <w:ind/>
              <w:jc w:val="center"/>
              <w:rPr>
                <w:rFonts w:ascii="Arial" w:hAnsi="Arial" w:cs="Arial"/>
                <w:sz w:val="20"/>
                <w:szCs w:val="20"/>
              </w:rPr>
            </w:pPr>
            <w:r>
              <w:rPr>
                <w:rFonts w:eastAsia="Arial" w:cs="Arial"/>
                <w:color w:val="000000"/>
                <w:sz w:val="20"/>
                <w:szCs w:val="20"/>
              </w:rPr>
              <w:t xml:space="preserve">Especificação</w:t>
            </w:r>
            <w:r>
              <w:rPr>
                <w:rFonts w:ascii="Arial" w:hAnsi="Arial" w:cs="Arial"/>
                <w:sz w:val="20"/>
                <w:szCs w:val="20"/>
              </w:rPr>
            </w:r>
          </w:p>
        </w:tc>
        <w:tc>
          <w:tcPr>
            <w:gridSpan w:val="8"/>
            <w:shd w:val="clear" w:color="ffffff" w:fill="ffffff"/>
            <w:tcBorders>
              <w:top w:val="single" w:color="000000" w:sz="12" w:space="0"/>
              <w:left w:val="single" w:color="000000" w:sz="12" w:space="0"/>
              <w:bottom w:val="single" w:color="000000" w:sz="12" w:space="0"/>
              <w:right w:val="single" w:color="000000" w:sz="12" w:space="0"/>
            </w:tcBorders>
            <w:tcW w:w="2249" w:type="dxa"/>
            <w:vAlign w:val="center"/>
            <w:textDirection w:val="lrTb"/>
            <w:noWrap w:val="false"/>
          </w:tcPr>
          <w:p>
            <w:pPr>
              <w:pStyle w:val="1056"/>
              <w:pBdr/>
              <w:spacing w:after="120" w:before="120"/>
              <w:ind/>
              <w:jc w:val="center"/>
              <w:rPr>
                <w:rFonts w:ascii="Arial" w:hAnsi="Arial" w:cs="Arial"/>
                <w:sz w:val="20"/>
                <w:szCs w:val="20"/>
              </w:rPr>
            </w:pPr>
            <w:r>
              <w:rPr>
                <w:rFonts w:eastAsia="Arial" w:cs="Arial"/>
                <w:color w:val="000000"/>
                <w:sz w:val="20"/>
                <w:szCs w:val="20"/>
              </w:rPr>
              <w:t xml:space="preserve">Preço Unit. Previsto</w:t>
            </w:r>
            <w:r>
              <w:rPr>
                <w:rFonts w:ascii="Arial" w:hAnsi="Arial" w:cs="Arial"/>
                <w:sz w:val="20"/>
                <w:szCs w:val="20"/>
              </w:rPr>
            </w:r>
          </w:p>
        </w:tc>
        <w:tc>
          <w:tcPr>
            <w:gridSpan w:val="11"/>
            <w:shd w:val="clear" w:color="ffffff" w:fill="ffffff"/>
            <w:tcBorders>
              <w:top w:val="single" w:color="000000" w:sz="12" w:space="0"/>
              <w:left w:val="single" w:color="000000" w:sz="12" w:space="0"/>
              <w:bottom w:val="single" w:color="000000" w:sz="12" w:space="0"/>
              <w:right w:val="single" w:color="000000" w:sz="12" w:space="0"/>
            </w:tcBorders>
            <w:tcW w:w="2517" w:type="dxa"/>
            <w:vAlign w:val="center"/>
            <w:textDirection w:val="lrTb"/>
            <w:noWrap w:val="false"/>
          </w:tcPr>
          <w:p>
            <w:pPr>
              <w:pStyle w:val="1056"/>
              <w:pBdr/>
              <w:spacing w:after="120" w:before="120"/>
              <w:ind/>
              <w:jc w:val="center"/>
              <w:rPr>
                <w:rFonts w:ascii="Arial" w:hAnsi="Arial" w:cs="Arial"/>
                <w:sz w:val="20"/>
                <w:szCs w:val="20"/>
              </w:rPr>
            </w:pPr>
            <w:r>
              <w:rPr>
                <w:rFonts w:eastAsia="Arial" w:cs="Arial"/>
                <w:color w:val="000000"/>
                <w:sz w:val="20"/>
                <w:szCs w:val="20"/>
              </w:rPr>
              <w:t xml:space="preserve">Preço Total Previsto</w:t>
            </w:r>
            <w:r>
              <w:rPr>
                <w:rFonts w:ascii="Arial" w:hAnsi="Arial" w:cs="Arial"/>
                <w:sz w:val="20"/>
                <w:szCs w:val="20"/>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36"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10"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46"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11"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21"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25"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12"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46"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11"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46"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10"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46"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11"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47"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11"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56"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133"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68" w:type="dxa"/>
            <w:textDirection w:val="lrTb"/>
            <w:noWrap w:val="false"/>
          </w:tcPr>
          <w:p>
            <w:pPr>
              <w:pStyle w:val="1056"/>
              <w:pBdr/>
              <w:spacing w:after="0" w:before="0" w:line="0" w:lineRule="atLeast"/>
              <w:ind/>
              <w:rPr>
                <w:sz w:val="2"/>
              </w:rPr>
            </w:pPr>
            <w:r>
              <w:rPr>
                <w:sz w:val="2"/>
              </w:rPr>
            </w:r>
            <w:r>
              <w:rPr>
                <w:sz w:val="2"/>
              </w:rPr>
            </w:r>
          </w:p>
        </w:tc>
      </w:tr>
      <w:tr>
        <w:trPr>
          <w:trHeight w:val="296"/>
        </w:trPr>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sz w:val="20"/>
                <w:szCs w:val="20"/>
              </w:rPr>
            </w:pPr>
            <w:r>
              <w:rPr>
                <w:sz w:val="20"/>
                <w:szCs w:val="20"/>
              </w:rPr>
            </w:r>
            <w:r>
              <w:rPr>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6"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8"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149"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3"/>
            <w:shd w:val="clear" w:color="ffffff" w:fill="ffffff"/>
            <w:tcBorders>
              <w:top w:val="none" w:color="000000" w:sz="4" w:space="0"/>
              <w:left w:val="none" w:color="000000" w:sz="4" w:space="0"/>
              <w:bottom w:val="none" w:color="000000" w:sz="4" w:space="0"/>
              <w:right w:val="none" w:color="000000" w:sz="4" w:space="0"/>
            </w:tcBorders>
            <w:tcW w:w="7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6"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2"/>
            <w:shd w:val="clear" w:color="ffffff" w:fill="ffffff"/>
            <w:tcBorders>
              <w:top w:val="none" w:color="000000" w:sz="4" w:space="0"/>
              <w:left w:val="none" w:color="000000" w:sz="4" w:space="0"/>
              <w:bottom w:val="none" w:color="000000" w:sz="4" w:space="0"/>
              <w:right w:val="none" w:color="000000" w:sz="4" w:space="0"/>
            </w:tcBorders>
            <w:tcW w:w="108"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231"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61"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463"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138"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2"/>
            <w:shd w:val="clear" w:color="ffffff" w:fill="ffffff"/>
            <w:tcBorders>
              <w:top w:val="none" w:color="000000" w:sz="4" w:space="0"/>
              <w:left w:val="none" w:color="000000" w:sz="4" w:space="0"/>
              <w:bottom w:val="none" w:color="000000" w:sz="4" w:space="0"/>
              <w:right w:val="none" w:color="000000" w:sz="4" w:space="0"/>
            </w:tcBorders>
            <w:tcW w:w="394"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2"/>
            <w:shd w:val="clear" w:color="ffffff" w:fill="ffffff"/>
            <w:tcBorders>
              <w:top w:val="none" w:color="000000" w:sz="4" w:space="0"/>
              <w:left w:val="none" w:color="000000" w:sz="4" w:space="0"/>
              <w:bottom w:val="none" w:color="000000" w:sz="4" w:space="0"/>
              <w:right w:val="none" w:color="000000" w:sz="4" w:space="0"/>
            </w:tcBorders>
            <w:tcW w:w="99"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6"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8"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6"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2"/>
            <w:shd w:val="clear" w:color="ffffff" w:fill="ffffff"/>
            <w:tcBorders>
              <w:top w:val="none" w:color="000000" w:sz="4" w:space="0"/>
              <w:left w:val="none" w:color="000000" w:sz="4" w:space="0"/>
              <w:bottom w:val="none" w:color="000000" w:sz="4" w:space="0"/>
              <w:right w:val="none" w:color="000000" w:sz="4" w:space="0"/>
            </w:tcBorders>
            <w:tcW w:w="58"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3"/>
            <w:shd w:val="clear" w:color="ffffff" w:fill="ffffff"/>
            <w:tcBorders>
              <w:top w:val="none" w:color="000000" w:sz="4" w:space="0"/>
              <w:left w:val="none" w:color="000000" w:sz="4" w:space="0"/>
              <w:bottom w:val="none" w:color="000000" w:sz="4" w:space="0"/>
              <w:right w:val="none" w:color="000000" w:sz="4" w:space="0"/>
            </w:tcBorders>
            <w:tcW w:w="209"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2"/>
            <w:shd w:val="clear" w:color="ffffff" w:fill="ffffff"/>
            <w:tcBorders>
              <w:top w:val="none" w:color="000000" w:sz="4" w:space="0"/>
              <w:left w:val="none" w:color="000000" w:sz="4" w:space="0"/>
              <w:bottom w:val="none" w:color="000000" w:sz="4" w:space="0"/>
              <w:right w:val="none" w:color="000000" w:sz="4" w:space="0"/>
            </w:tcBorders>
            <w:tcW w:w="183"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8"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255"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150"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902"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4"/>
            <w:shd w:val="clear" w:color="ffffff" w:fill="ffffff"/>
            <w:tcBorders>
              <w:top w:val="none" w:color="000000" w:sz="4" w:space="0"/>
              <w:left w:val="none" w:color="000000" w:sz="4" w:space="0"/>
              <w:bottom w:val="none" w:color="000000" w:sz="4" w:space="0"/>
              <w:right w:val="none" w:color="000000" w:sz="4" w:space="0"/>
            </w:tcBorders>
            <w:tcW w:w="444"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19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13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3"/>
            <w:shd w:val="clear" w:color="ffffff" w:fill="ffffff"/>
            <w:tcBorders>
              <w:top w:val="none" w:color="000000" w:sz="4" w:space="0"/>
              <w:left w:val="none" w:color="000000" w:sz="4" w:space="0"/>
              <w:bottom w:val="none" w:color="000000" w:sz="4" w:space="0"/>
              <w:right w:val="none" w:color="000000" w:sz="4" w:space="0"/>
            </w:tcBorders>
            <w:tcW w:w="463"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2"/>
            <w:shd w:val="clear" w:color="ffffff" w:fill="ffffff"/>
            <w:tcBorders>
              <w:top w:val="none" w:color="000000" w:sz="4" w:space="0"/>
              <w:left w:val="none" w:color="000000" w:sz="4" w:space="0"/>
              <w:bottom w:val="none" w:color="000000" w:sz="4" w:space="0"/>
              <w:right w:val="none" w:color="000000" w:sz="4" w:space="0"/>
            </w:tcBorders>
            <w:tcW w:w="149"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170"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4"/>
            <w:shd w:val="clear" w:color="ffffff" w:fill="ffffff"/>
            <w:tcBorders>
              <w:top w:val="none" w:color="000000" w:sz="4" w:space="0"/>
              <w:left w:val="none" w:color="000000" w:sz="4" w:space="0"/>
              <w:bottom w:val="none" w:color="000000" w:sz="4" w:space="0"/>
              <w:right w:val="none" w:color="000000" w:sz="4" w:space="0"/>
            </w:tcBorders>
            <w:tcW w:w="2056"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3"/>
            <w:shd w:val="clear" w:color="ffffff" w:fill="ffffff"/>
            <w:tcBorders>
              <w:top w:val="none" w:color="000000" w:sz="4" w:space="0"/>
              <w:left w:val="none" w:color="000000" w:sz="4" w:space="0"/>
              <w:bottom w:val="none" w:color="000000" w:sz="4" w:space="0"/>
              <w:right w:val="none" w:color="000000" w:sz="4" w:space="0"/>
            </w:tcBorders>
            <w:tcW w:w="56"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2"/>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3"/>
            <w:shd w:val="clear" w:color="ffffff" w:fill="ffffff"/>
            <w:tcBorders>
              <w:top w:val="none" w:color="000000" w:sz="4" w:space="0"/>
              <w:left w:val="none" w:color="000000" w:sz="4" w:space="0"/>
              <w:bottom w:val="none" w:color="000000" w:sz="4" w:space="0"/>
              <w:right w:val="none" w:color="000000" w:sz="4" w:space="0"/>
            </w:tcBorders>
            <w:tcW w:w="58"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2"/>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2"/>
            <w:shd w:val="clear" w:color="ffffff" w:fill="ffffff"/>
            <w:tcBorders>
              <w:top w:val="none" w:color="000000" w:sz="4" w:space="0"/>
              <w:left w:val="none" w:color="000000" w:sz="4" w:space="0"/>
              <w:bottom w:val="none" w:color="000000" w:sz="4" w:space="0"/>
              <w:right w:val="none" w:color="000000" w:sz="4" w:space="0"/>
            </w:tcBorders>
            <w:tcW w:w="56"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2"/>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2"/>
            <w:shd w:val="clear" w:color="ffffff" w:fill="ffffff"/>
            <w:tcBorders>
              <w:top w:val="none" w:color="000000" w:sz="4" w:space="0"/>
              <w:left w:val="none" w:color="000000" w:sz="4" w:space="0"/>
              <w:bottom w:val="none" w:color="000000" w:sz="4" w:space="0"/>
              <w:right w:val="none" w:color="000000" w:sz="4" w:space="0"/>
            </w:tcBorders>
            <w:tcW w:w="58"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6"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2"/>
            <w:shd w:val="clear" w:color="ffffff" w:fill="ffffff"/>
            <w:tcBorders>
              <w:top w:val="none" w:color="000000" w:sz="4" w:space="0"/>
              <w:left w:val="none" w:color="000000" w:sz="4" w:space="0"/>
              <w:bottom w:val="none" w:color="000000" w:sz="4" w:space="0"/>
              <w:right w:val="none" w:color="000000" w:sz="4" w:space="0"/>
            </w:tcBorders>
            <w:tcW w:w="201"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r>
      <w:tr>
        <w:trPr>
          <w:trHeight w:val="294"/>
        </w:trPr>
        <w:tc>
          <w:tcPr>
            <w:gridSpan w:val="7"/>
            <w:shd w:val="clear" w:color="ffffff" w:fill="ffffff"/>
            <w:tcBorders>
              <w:top w:val="none" w:color="000000" w:sz="4" w:space="0"/>
              <w:left w:val="none" w:color="000000" w:sz="4" w:space="0"/>
              <w:bottom w:val="none" w:color="000000" w:sz="4" w:space="0"/>
              <w:right w:val="none" w:color="000000" w:sz="4" w:space="0"/>
            </w:tcBorders>
            <w:tcW w:w="443" w:type="dxa"/>
            <w:vAlign w:val="center"/>
            <w:textDirection w:val="lrTb"/>
            <w:noWrap w:val="false"/>
          </w:tcPr>
          <w:p>
            <w:pPr>
              <w:pStyle w:val="1056"/>
              <w:pBdr/>
              <w:spacing w:after="120" w:before="120"/>
              <w:ind/>
              <w:jc w:val="center"/>
              <w:rPr>
                <w:rFonts w:ascii="Arial" w:hAnsi="Arial" w:cs="Arial"/>
                <w:sz w:val="20"/>
                <w:szCs w:val="20"/>
              </w:rPr>
            </w:pPr>
            <w:r>
              <w:rPr>
                <w:rFonts w:eastAsia="Arial" w:cs="Arial"/>
                <w:color w:val="000000"/>
                <w:sz w:val="20"/>
                <w:szCs w:val="20"/>
              </w:rPr>
              <w:t xml:space="preserve">1</w:t>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8"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9"/>
            <w:shd w:val="clear" w:color="ffffff" w:fill="ffffff"/>
            <w:tcBorders>
              <w:top w:val="none" w:color="000000" w:sz="4" w:space="0"/>
              <w:left w:val="none" w:color="000000" w:sz="4" w:space="0"/>
              <w:bottom w:val="none" w:color="000000" w:sz="4" w:space="0"/>
              <w:right w:val="none" w:color="000000" w:sz="4" w:space="0"/>
            </w:tcBorders>
            <w:tcW w:w="1368" w:type="dxa"/>
            <w:vAlign w:val="center"/>
            <w:textDirection w:val="lrTb"/>
            <w:noWrap w:val="false"/>
          </w:tcPr>
          <w:p>
            <w:pPr>
              <w:pStyle w:val="1056"/>
              <w:pBdr/>
              <w:spacing w:after="120" w:before="120"/>
              <w:ind/>
              <w:jc w:val="right"/>
              <w:rPr>
                <w:rFonts w:ascii="Arial" w:hAnsi="Arial" w:cs="Arial"/>
                <w:sz w:val="20"/>
                <w:szCs w:val="20"/>
              </w:rPr>
            </w:pPr>
            <w:r>
              <w:rPr>
                <w:rFonts w:eastAsia="Arial" w:cs="Arial"/>
                <w:color w:val="000000"/>
                <w:sz w:val="20"/>
                <w:szCs w:val="20"/>
              </w:rPr>
              <w:t xml:space="preserve">41.969,300</w:t>
            </w:r>
            <w:r>
              <w:rPr>
                <w:rFonts w:ascii="Arial" w:hAnsi="Arial" w:cs="Arial"/>
                <w:sz w:val="20"/>
                <w:szCs w:val="20"/>
              </w:rPr>
            </w:r>
          </w:p>
        </w:tc>
        <w:tc>
          <w:tcPr>
            <w:gridSpan w:val="10"/>
            <w:shd w:val="clear" w:color="ffffff" w:fill="ffffff"/>
            <w:tcBorders>
              <w:top w:val="none" w:color="000000" w:sz="4" w:space="0"/>
              <w:left w:val="none" w:color="000000" w:sz="4" w:space="0"/>
              <w:bottom w:val="none" w:color="000000" w:sz="4" w:space="0"/>
              <w:right w:val="none" w:color="000000" w:sz="4" w:space="0"/>
            </w:tcBorders>
            <w:tcW w:w="577" w:type="dxa"/>
            <w:vAlign w:val="center"/>
            <w:textDirection w:val="lrTb"/>
            <w:noWrap w:val="false"/>
          </w:tcPr>
          <w:p>
            <w:pPr>
              <w:pStyle w:val="1056"/>
              <w:pBdr/>
              <w:spacing w:after="120" w:before="120"/>
              <w:ind/>
              <w:jc w:val="center"/>
              <w:rPr>
                <w:rFonts w:ascii="Arial" w:hAnsi="Arial" w:cs="Arial"/>
                <w:sz w:val="20"/>
                <w:szCs w:val="20"/>
              </w:rPr>
            </w:pPr>
            <w:r>
              <w:rPr>
                <w:rFonts w:eastAsia="Arial" w:cs="Arial"/>
                <w:color w:val="000000"/>
                <w:sz w:val="20"/>
                <w:szCs w:val="20"/>
              </w:rPr>
              <w:t xml:space="preserve">M²</w:t>
            </w:r>
            <w:r>
              <w:rPr>
                <w:rFonts w:ascii="Arial" w:hAnsi="Arial" w:cs="Arial"/>
                <w:sz w:val="20"/>
                <w:szCs w:val="20"/>
              </w:rPr>
            </w:r>
          </w:p>
        </w:tc>
        <w:tc>
          <w:tcPr>
            <w:gridSpan w:val="2"/>
            <w:shd w:val="clear" w:color="ffffff" w:fill="ffffff"/>
            <w:tcBorders>
              <w:top w:val="none" w:color="000000" w:sz="4" w:space="0"/>
              <w:left w:val="none" w:color="000000" w:sz="4" w:space="0"/>
              <w:bottom w:val="none" w:color="000000" w:sz="4" w:space="0"/>
              <w:right w:val="none" w:color="000000" w:sz="4" w:space="0"/>
            </w:tcBorders>
            <w:tcW w:w="183"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3"/>
            <w:shd w:val="clear" w:color="ffffff" w:fill="ffffff"/>
            <w:tcBorders>
              <w:top w:val="none" w:color="000000" w:sz="4" w:space="0"/>
              <w:left w:val="none" w:color="000000" w:sz="4" w:space="0"/>
              <w:bottom w:val="none" w:color="000000" w:sz="4" w:space="0"/>
              <w:right w:val="none" w:color="000000" w:sz="4" w:space="0"/>
            </w:tcBorders>
            <w:tcW w:w="58"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10"/>
            <w:shd w:val="clear" w:color="ffffff" w:fill="ffffff"/>
            <w:tcBorders>
              <w:top w:val="none" w:color="000000" w:sz="4" w:space="0"/>
              <w:left w:val="none" w:color="000000" w:sz="4" w:space="0"/>
              <w:bottom w:val="none" w:color="000000" w:sz="4" w:space="0"/>
              <w:right w:val="none" w:color="000000" w:sz="4" w:space="0"/>
            </w:tcBorders>
            <w:tcW w:w="1917" w:type="dxa"/>
            <w:vAlign w:val="center"/>
            <w:textDirection w:val="lrTb"/>
            <w:noWrap w:val="false"/>
          </w:tcPr>
          <w:p>
            <w:pPr>
              <w:pStyle w:val="1056"/>
              <w:pBdr/>
              <w:spacing w:after="120" w:before="120"/>
              <w:ind/>
              <w:rPr>
                <w:rFonts w:ascii="Arial" w:hAnsi="Arial" w:cs="Arial"/>
                <w:sz w:val="20"/>
                <w:szCs w:val="20"/>
              </w:rPr>
            </w:pPr>
            <w:r>
              <w:rPr>
                <w:rFonts w:eastAsia="Arial" w:cs="Arial"/>
                <w:color w:val="000000"/>
                <w:sz w:val="20"/>
                <w:szCs w:val="20"/>
              </w:rPr>
              <w:t xml:space="preserve">Serviço de dedetização (desratização, descupinização, desinsetização, escorpião e expurgo) - - CATSERV: 3417 - Serviço de dedetização (desratização, descupinização, desinsetização, escorpião e expurgo) - - CATSERV: 3417</w:t>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6"/>
            <w:shd w:val="clear" w:color="ffffff" w:fill="ffffff"/>
            <w:tcBorders>
              <w:top w:val="none" w:color="000000" w:sz="4" w:space="0"/>
              <w:left w:val="none" w:color="000000" w:sz="4" w:space="0"/>
              <w:bottom w:val="none" w:color="000000" w:sz="4" w:space="0"/>
              <w:right w:val="none" w:color="000000" w:sz="4" w:space="0"/>
            </w:tcBorders>
            <w:tcW w:w="2248" w:type="dxa"/>
            <w:vAlign w:val="center"/>
            <w:textDirection w:val="lrTb"/>
            <w:noWrap w:val="false"/>
          </w:tcPr>
          <w:p>
            <w:pPr>
              <w:pStyle w:val="1056"/>
              <w:pBdr/>
              <w:spacing w:after="120" w:before="120"/>
              <w:ind/>
              <w:jc w:val="right"/>
              <w:rPr>
                <w:rFonts w:ascii="Arial" w:hAnsi="Arial" w:cs="Arial"/>
                <w:sz w:val="20"/>
                <w:szCs w:val="20"/>
              </w:rPr>
            </w:pPr>
            <w:r>
              <w:rPr>
                <w:rFonts w:eastAsia="Arial" w:cs="Arial"/>
                <w:color w:val="000000"/>
                <w:sz w:val="20"/>
                <w:szCs w:val="20"/>
              </w:rPr>
              <w:t xml:space="preserve">1,7200</w:t>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9"/>
            <w:shd w:val="clear" w:color="ffffff" w:fill="ffffff"/>
            <w:tcBorders>
              <w:top w:val="none" w:color="000000" w:sz="4" w:space="0"/>
              <w:left w:val="none" w:color="000000" w:sz="4" w:space="0"/>
              <w:bottom w:val="none" w:color="000000" w:sz="4" w:space="0"/>
              <w:right w:val="none" w:color="000000" w:sz="4" w:space="0"/>
            </w:tcBorders>
            <w:tcW w:w="2426" w:type="dxa"/>
            <w:vAlign w:val="center"/>
            <w:textDirection w:val="lrTb"/>
            <w:noWrap w:val="false"/>
          </w:tcPr>
          <w:p>
            <w:pPr>
              <w:pStyle w:val="1056"/>
              <w:pBdr/>
              <w:spacing w:after="120" w:before="120"/>
              <w:ind/>
              <w:jc w:val="right"/>
              <w:rPr>
                <w:rFonts w:ascii="Arial" w:hAnsi="Arial" w:cs="Arial"/>
                <w:sz w:val="20"/>
                <w:szCs w:val="20"/>
              </w:rPr>
            </w:pPr>
            <w:r>
              <w:rPr>
                <w:rFonts w:eastAsia="Arial" w:cs="Arial"/>
                <w:color w:val="000000"/>
                <w:sz w:val="20"/>
                <w:szCs w:val="20"/>
              </w:rPr>
              <w:t xml:space="preserve">72.187,20</w:t>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6"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W w:w="57"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gridSpan w:val="7"/>
            <w:shd w:val="clear" w:color="ffffff" w:fill="ffffff"/>
            <w:tcBorders>
              <w:top w:val="none" w:color="000000" w:sz="4" w:space="0"/>
              <w:left w:val="none" w:color="000000" w:sz="4" w:space="0"/>
              <w:bottom w:val="none" w:color="000000" w:sz="4" w:space="0"/>
              <w:right w:val="none" w:color="000000" w:sz="4" w:space="0"/>
            </w:tcBorders>
            <w:tcW w:w="202" w:type="dxa"/>
            <w:textDirection w:val="lrTb"/>
            <w:noWrap w:val="false"/>
          </w:tcPr>
          <w:p>
            <w:pPr>
              <w:pStyle w:val="1056"/>
              <w:pBdr/>
              <w:spacing w:after="120" w:before="120"/>
              <w:ind/>
              <w:rPr>
                <w:rFonts w:ascii="Arial" w:hAnsi="Arial" w:cs="Arial"/>
                <w:sz w:val="20"/>
                <w:szCs w:val="20"/>
              </w:rPr>
            </w:pPr>
            <w:r>
              <w:rPr>
                <w:rFonts w:cs="Arial"/>
                <w:sz w:val="20"/>
                <w:szCs w:val="20"/>
              </w:rPr>
            </w:r>
            <w:r>
              <w:rPr>
                <w:rFonts w:ascii="Arial" w:hAnsi="Arial" w:cs="Arial"/>
                <w:sz w:val="20"/>
                <w:szCs w:val="20"/>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25"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12"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46"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11"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46"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10"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46"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11"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47"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11"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56"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133" w:type="dxa"/>
            <w:textDirection w:val="lrTb"/>
            <w:noWrap w:val="false"/>
          </w:tcPr>
          <w:p>
            <w:pPr>
              <w:pStyle w:val="1056"/>
              <w:pBdr/>
              <w:spacing w:after="0" w:before="0" w:line="0" w:lineRule="atLeast"/>
              <w:ind/>
              <w:rPr>
                <w:sz w:val="2"/>
              </w:rPr>
            </w:pPr>
            <w:r>
              <w:rPr>
                <w:sz w:val="2"/>
              </w:rPr>
            </w:r>
            <w:r>
              <w:rPr>
                <w:sz w:val="2"/>
              </w:rPr>
            </w:r>
          </w:p>
        </w:tc>
        <w:tc>
          <w:tcPr>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68" w:type="dxa"/>
            <w:textDirection w:val="lrTb"/>
            <w:noWrap w:val="false"/>
          </w:tcPr>
          <w:p>
            <w:pPr>
              <w:pStyle w:val="1056"/>
              <w:pBdr/>
              <w:spacing w:after="0" w:before="0" w:line="0" w:lineRule="atLeast"/>
              <w:ind/>
              <w:rPr>
                <w:sz w:val="2"/>
              </w:rPr>
            </w:pPr>
            <w:r>
              <w:rPr>
                <w:sz w:val="2"/>
              </w:rPr>
            </w:r>
            <w:r>
              <w:rPr>
                <w:sz w:val="2"/>
              </w:rPr>
            </w:r>
          </w:p>
        </w:tc>
      </w:tr>
    </w:tbl>
    <w:p>
      <w:pPr>
        <w:pStyle w:val="1210"/>
        <w:numPr>
          <w:ilvl w:val="1"/>
          <w:numId w:val="20"/>
        </w:numPr>
        <w:pBdr/>
        <w:tabs>
          <w:tab w:val="left" w:leader="none" w:pos="567"/>
          <w:tab w:val="clear" w:leader="none" w:pos="720"/>
        </w:tabs>
        <w:spacing w:line="360" w:lineRule="auto"/>
        <w:ind w:hanging="153" w:left="1134"/>
        <w:rPr>
          <w:rFonts w:ascii="Arial" w:hAnsi="Arial" w:cs="Arial"/>
          <w:b/>
          <w:sz w:val="24"/>
          <w:szCs w:val="24"/>
        </w:rPr>
      </w:pPr>
      <w:r>
        <w:rPr>
          <w:rFonts w:cs="Arial"/>
          <w:b/>
          <w:sz w:val="24"/>
          <w:szCs w:val="24"/>
        </w:rPr>
        <w:t xml:space="preserve">ESTIMATIVA DE PREÇOS: </w:t>
      </w:r>
      <w:r>
        <w:rPr>
          <w:rFonts w:ascii="Arial" w:hAnsi="Arial" w:cs="Arial"/>
          <w:b/>
          <w:sz w:val="24"/>
          <w:szCs w:val="24"/>
        </w:rPr>
      </w:r>
    </w:p>
    <w:tbl>
      <w:tblPr>
        <w:tblStyle w:val="1380"/>
        <w:tblInd w:w="-93" w:type="dxa"/>
        <w:tblW w:w="9548" w:type="dxa"/>
        <w:tblCellMar>
          <w:left w:w="15" w:type="dxa"/>
          <w:top w:w="15" w:type="dxa"/>
          <w:right w:w="15" w:type="dxa"/>
          <w:bottom w:w="15" w:type="dxa"/>
        </w:tblCellMar>
        <w:tblBorders/>
        <w:tblLayout w:type="fixed"/>
        <w:tblLook w:val="04A0" w:firstRow="1" w:lastRow="0" w:firstColumn="1" w:lastColumn="0" w:noHBand="0" w:noVBand="1"/>
      </w:tblPr>
      <w:tblGrid>
        <w:gridCol w:w="101"/>
        <w:gridCol w:w="35"/>
        <w:gridCol w:w="36"/>
        <w:gridCol w:w="255"/>
        <w:gridCol w:w="37"/>
        <w:gridCol w:w="36"/>
        <w:gridCol w:w="35"/>
        <w:gridCol w:w="585"/>
        <w:gridCol w:w="345"/>
        <w:gridCol w:w="141"/>
        <w:gridCol w:w="37"/>
        <w:gridCol w:w="404"/>
        <w:gridCol w:w="76"/>
        <w:gridCol w:w="35"/>
        <w:gridCol w:w="698"/>
        <w:gridCol w:w="37"/>
        <w:gridCol w:w="52"/>
        <w:gridCol w:w="265"/>
        <w:gridCol w:w="783"/>
        <w:gridCol w:w="236"/>
        <w:gridCol w:w="37"/>
        <w:gridCol w:w="145"/>
        <w:gridCol w:w="201"/>
        <w:gridCol w:w="1033"/>
        <w:gridCol w:w="44"/>
        <w:gridCol w:w="36"/>
        <w:gridCol w:w="709"/>
        <w:gridCol w:w="1002"/>
        <w:gridCol w:w="37"/>
        <w:gridCol w:w="1274"/>
        <w:gridCol w:w="635"/>
        <w:gridCol w:w="102"/>
        <w:gridCol w:w="64"/>
      </w:tblGrid>
      <w:tr>
        <w:trPr>
          <w:trHeight w:val="411"/>
        </w:trPr>
        <w:tc>
          <w:tcPr>
            <w:shd w:val="clear" w:color="ffffff" w:fill="ffffff"/>
            <w:tcBorders>
              <w:top w:val="none" w:color="000000" w:sz="4" w:space="0"/>
              <w:left w:val="none" w:color="000000" w:sz="4" w:space="0"/>
              <w:bottom w:val="none" w:color="000000" w:sz="4" w:space="0"/>
              <w:right w:val="none" w:color="000000" w:sz="4" w:space="0"/>
            </w:tcBorders>
            <w:tcW w:w="101" w:type="dxa"/>
            <w:textDirection w:val="lrTb"/>
            <w:noWrap w:val="false"/>
          </w:tcPr>
          <w:p>
            <w:pPr>
              <w:pStyle w:val="1056"/>
              <w:pBdr/>
              <w:spacing w:after="120" w:before="120"/>
              <w:ind/>
              <w:rPr>
                <w:sz w:val="24"/>
                <w:szCs w:val="24"/>
              </w:rPr>
            </w:pPr>
            <w:r>
              <w:rPr>
                <w:rFonts w:cs="Arial"/>
                <w:b/>
                <w:bCs/>
                <w:sz w:val="24"/>
                <w:szCs w:val="24"/>
              </w:rPr>
            </w:r>
            <w:r>
              <w:rPr>
                <w:rFonts w:ascii="Arial" w:hAnsi="Arial" w:cs="Arial"/>
                <w:b/>
                <w:bCs/>
                <w:sz w:val="24"/>
                <w:szCs w:val="24"/>
              </w:rPr>
              <w:tab/>
            </w:r>
            <w:r>
              <w:rPr>
                <w:rFonts w:ascii="Arial" w:hAnsi="Arial" w:cs="Arial"/>
                <w:b/>
                <w:bCs/>
                <w:sz w:val="24"/>
                <w:szCs w:val="24"/>
              </w:rPr>
            </w:r>
            <w:r>
              <w:rPr>
                <w:rFonts w:cs="Arial"/>
                <w:b/>
                <w:bCs/>
                <w:sz w:val="24"/>
                <w:szCs w:val="24"/>
              </w:rPr>
            </w:r>
            <w:r>
              <w:rPr>
                <w:rFonts w:ascii="Arial" w:hAnsi="Arial" w:cs="Arial"/>
                <w:b/>
                <w:bCs/>
                <w:sz w:val="24"/>
                <w:szCs w:val="24"/>
              </w:rPr>
            </w:r>
            <w:r>
              <w:rPr>
                <w:rFonts w:ascii="Arial" w:hAnsi="Arial" w:cs="Arial"/>
                <w:b/>
                <w:bCs/>
                <w:sz w:val="24"/>
                <w:szCs w:val="24"/>
              </w:rPr>
            </w:r>
            <w:r>
              <w:rPr>
                <w:sz w:val="24"/>
                <w:szCs w:val="24"/>
              </w:rPr>
            </w:r>
            <w:r>
              <w:rPr>
                <w:sz w:val="24"/>
                <w:szCs w:val="24"/>
              </w:rPr>
            </w:r>
          </w:p>
        </w:tc>
        <w:tc>
          <w:tcPr>
            <w:gridSpan w:val="9"/>
            <w:shd w:val="clear" w:color="ffffff" w:fill="ffffff"/>
            <w:tcBorders>
              <w:top w:val="single" w:color="000000" w:sz="12" w:space="0"/>
              <w:left w:val="single" w:color="000000" w:sz="12" w:space="0"/>
              <w:bottom w:val="single" w:color="000000" w:sz="12" w:space="0"/>
              <w:right w:val="single" w:color="000000" w:sz="12" w:space="0"/>
            </w:tcBorders>
            <w:tcW w:w="1505" w:type="dxa"/>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Fornecedor</w:t>
            </w:r>
            <w:r>
              <w:rPr>
                <w:rFonts w:ascii="Arial" w:hAnsi="Arial" w:cs="Arial"/>
                <w:sz w:val="18"/>
                <w:szCs w:val="18"/>
              </w:rPr>
            </w:r>
          </w:p>
        </w:tc>
        <w:tc>
          <w:tcPr>
            <w:gridSpan w:val="3"/>
            <w:shd w:val="clear" w:color="ffffff" w:fill="ffffff"/>
            <w:tcBorders>
              <w:top w:val="single" w:color="000000" w:sz="12" w:space="0"/>
              <w:left w:val="single" w:color="000000" w:sz="12" w:space="0"/>
              <w:bottom w:val="single" w:color="000000" w:sz="12" w:space="0"/>
              <w:right w:val="single" w:color="000000" w:sz="12" w:space="0"/>
            </w:tcBorders>
            <w:tcW w:w="517" w:type="dxa"/>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Marca</w:t>
            </w:r>
            <w:r>
              <w:rPr>
                <w:rFonts w:ascii="Arial" w:hAnsi="Arial" w:cs="Arial"/>
                <w:sz w:val="18"/>
                <w:szCs w:val="18"/>
              </w:rPr>
            </w:r>
          </w:p>
        </w:tc>
        <w:tc>
          <w:tcPr>
            <w:gridSpan w:val="4"/>
            <w:shd w:val="clear" w:color="ffffff" w:fill="ffffff"/>
            <w:tcBorders>
              <w:top w:val="single" w:color="000000" w:sz="12" w:space="0"/>
              <w:left w:val="single" w:color="000000" w:sz="12" w:space="0"/>
              <w:bottom w:val="single" w:color="000000" w:sz="12" w:space="0"/>
              <w:right w:val="single" w:color="000000" w:sz="12" w:space="0"/>
            </w:tcBorders>
            <w:tcW w:w="822" w:type="dxa"/>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Qtd</w:t>
            </w:r>
            <w:r>
              <w:rPr>
                <w:rFonts w:ascii="Arial" w:hAnsi="Arial" w:cs="Arial"/>
                <w:sz w:val="18"/>
                <w:szCs w:val="18"/>
              </w:rPr>
            </w:r>
          </w:p>
        </w:tc>
        <w:tc>
          <w:tcPr>
            <w:shd w:val="clear" w:color="ffffff" w:fill="ffffff"/>
            <w:tcBorders>
              <w:top w:val="single" w:color="000000" w:sz="12" w:space="0"/>
              <w:left w:val="single" w:color="000000" w:sz="12" w:space="0"/>
              <w:bottom w:val="single" w:color="000000" w:sz="12" w:space="0"/>
              <w:right w:val="single" w:color="000000" w:sz="12" w:space="0"/>
            </w:tcBorders>
            <w:tcW w:w="265" w:type="dxa"/>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Un.</w:t>
            </w:r>
            <w:r>
              <w:rPr>
                <w:rFonts w:ascii="Arial" w:hAnsi="Arial" w:cs="Arial"/>
                <w:sz w:val="18"/>
                <w:szCs w:val="18"/>
              </w:rPr>
            </w:r>
          </w:p>
        </w:tc>
        <w:tc>
          <w:tcPr>
            <w:gridSpan w:val="7"/>
            <w:shd w:val="clear" w:color="ffffff" w:fill="ffffff"/>
            <w:tcBorders>
              <w:top w:val="single" w:color="000000" w:sz="12" w:space="0"/>
              <w:left w:val="single" w:color="000000" w:sz="12" w:space="0"/>
              <w:bottom w:val="single" w:color="000000" w:sz="12" w:space="0"/>
              <w:right w:val="single" w:color="000000" w:sz="12" w:space="0"/>
            </w:tcBorders>
            <w:tcW w:w="2479" w:type="dxa"/>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Preço Un.</w:t>
            </w:r>
            <w:r>
              <w:rPr>
                <w:rFonts w:ascii="Arial" w:hAnsi="Arial" w:cs="Arial"/>
                <w:sz w:val="18"/>
                <w:szCs w:val="18"/>
              </w:rPr>
            </w:r>
          </w:p>
        </w:tc>
        <w:tc>
          <w:tcPr>
            <w:gridSpan w:val="4"/>
            <w:shd w:val="clear" w:color="ffffff" w:fill="ffffff"/>
            <w:tcBorders>
              <w:top w:val="single" w:color="000000" w:sz="12" w:space="0"/>
              <w:left w:val="single" w:color="000000" w:sz="12" w:space="0"/>
              <w:bottom w:val="single" w:color="000000" w:sz="12" w:space="0"/>
              <w:right w:val="single" w:color="000000" w:sz="12" w:space="0"/>
            </w:tcBorders>
            <w:tcW w:w="1784" w:type="dxa"/>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Preço Total</w:t>
            </w:r>
            <w:r>
              <w:rPr>
                <w:rFonts w:ascii="Arial" w:hAnsi="Arial" w:cs="Arial"/>
                <w:sz w:val="18"/>
                <w:szCs w:val="18"/>
              </w:rPr>
            </w:r>
          </w:p>
        </w:tc>
        <w:tc>
          <w:tcPr>
            <w:gridSpan w:val="4"/>
            <w:shd w:val="clear" w:color="ffffff" w:fill="ffffff"/>
            <w:tcBorders>
              <w:top w:val="single" w:color="000000" w:sz="12" w:space="0"/>
              <w:left w:val="single" w:color="000000" w:sz="12" w:space="0"/>
              <w:bottom w:val="single" w:color="000000" w:sz="12" w:space="0"/>
              <w:right w:val="single" w:color="000000" w:sz="12" w:space="0"/>
            </w:tcBorders>
            <w:tcW w:w="2075" w:type="dxa"/>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Situação</w:t>
            </w:r>
            <w:r>
              <w:rPr>
                <w:rFonts w:ascii="Arial" w:hAnsi="Arial" w:cs="Arial"/>
                <w:sz w:val="18"/>
                <w:szCs w:val="18"/>
              </w:rPr>
            </w:r>
          </w:p>
        </w:tc>
      </w:tr>
      <w:tr>
        <w:trPr>
          <w:trHeight w:val="254"/>
        </w:trPr>
        <w:tc>
          <w:tcPr>
            <w:gridSpan w:val="33"/>
            <w:shd w:val="clear" w:color="ffffff" w:fill="ffffff"/>
            <w:tcBorders>
              <w:top w:val="none" w:color="000000" w:sz="4" w:space="0"/>
              <w:left w:val="none" w:color="000000" w:sz="4" w:space="0"/>
              <w:bottom w:val="none" w:color="000000" w:sz="4" w:space="0"/>
              <w:right w:val="none" w:color="000000" w:sz="4" w:space="0"/>
            </w:tcBorders>
            <w:tcW w:w="9548" w:type="dxa"/>
            <w:textDirection w:val="lrTb"/>
            <w:noWrap w:val="false"/>
          </w:tcPr>
          <w:p>
            <w:pPr>
              <w:pStyle w:val="1056"/>
              <w:pBdr/>
              <w:spacing w:after="120" w:before="120"/>
              <w:ind/>
              <w:rPr>
                <w:rFonts w:ascii="Arial" w:hAnsi="Arial" w:cs="Arial"/>
                <w:sz w:val="18"/>
                <w:szCs w:val="18"/>
              </w:rPr>
            </w:pPr>
            <w:r>
              <w:rPr>
                <w:rFonts w:eastAsia="Arial" w:cs="Arial"/>
                <w:b/>
                <w:color w:val="000000"/>
                <w:sz w:val="18"/>
                <w:szCs w:val="18"/>
              </w:rPr>
              <w:t xml:space="preserve">Item: 1 - Serviço de dedetização (desratização, descupinização, desinsetização, escorpião e expurgo) - - CATSERV: 3417</w:t>
            </w:r>
            <w:r>
              <w:rPr>
                <w:rFonts w:ascii="Arial" w:hAnsi="Arial" w:cs="Arial"/>
                <w:sz w:val="18"/>
                <w:szCs w:val="18"/>
              </w:rPr>
            </w:r>
          </w:p>
        </w:tc>
      </w:tr>
      <w:tr>
        <w:trPr>
          <w:trHeight w:val="495"/>
        </w:trPr>
        <w:tc>
          <w:tcPr>
            <w:gridSpan w:val="10"/>
            <w:shd w:val="clear" w:color="ffffff" w:fill="ffffff"/>
            <w:tcBorders>
              <w:top w:val="none" w:color="000000" w:sz="4" w:space="0"/>
              <w:left w:val="none" w:color="000000" w:sz="4" w:space="0"/>
              <w:bottom w:val="none" w:color="000000" w:sz="4" w:space="0"/>
              <w:right w:val="none" w:color="000000" w:sz="4" w:space="0"/>
            </w:tcBorders>
            <w:tcW w:w="1606" w:type="dxa"/>
            <w:vAlign w:val="center"/>
            <w:textDirection w:val="lrTb"/>
            <w:noWrap w:val="false"/>
          </w:tcPr>
          <w:p>
            <w:pPr>
              <w:pStyle w:val="1056"/>
              <w:pBdr/>
              <w:spacing w:after="120" w:before="120"/>
              <w:ind/>
              <w:rPr>
                <w:rFonts w:ascii="Arial" w:hAnsi="Arial" w:cs="Arial"/>
                <w:sz w:val="18"/>
                <w:szCs w:val="18"/>
              </w:rPr>
            </w:pPr>
            <w:r>
              <w:rPr>
                <w:rFonts w:eastAsia="Arial" w:cs="Arial"/>
                <w:color w:val="000000"/>
                <w:sz w:val="18"/>
                <w:szCs w:val="18"/>
              </w:rPr>
              <w:t xml:space="preserve">DEDETIZACAO CAMPO GRANDE LTDA</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04" w:type="dxa"/>
            <w:vAlign w:val="center"/>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98" w:type="dxa"/>
            <w:vAlign w:val="center"/>
            <w:textDirection w:val="lrTb"/>
            <w:noWrap w:val="false"/>
          </w:tcPr>
          <w:p>
            <w:pPr>
              <w:pStyle w:val="1056"/>
              <w:pBdr/>
              <w:spacing w:after="120" w:before="120"/>
              <w:ind/>
              <w:jc w:val="right"/>
              <w:rPr>
                <w:rFonts w:ascii="Arial" w:hAnsi="Arial" w:cs="Arial"/>
                <w:sz w:val="18"/>
                <w:szCs w:val="18"/>
              </w:rPr>
            </w:pPr>
            <w:r>
              <w:rPr>
                <w:rFonts w:eastAsia="Arial" w:cs="Arial"/>
                <w:color w:val="000000"/>
                <w:sz w:val="18"/>
                <w:szCs w:val="18"/>
              </w:rPr>
              <w:t xml:space="preserve">41.969,30</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3"/>
            <w:shd w:val="clear" w:color="ffffff" w:fill="ffffff"/>
            <w:tcBorders>
              <w:top w:val="none" w:color="000000" w:sz="4" w:space="0"/>
              <w:left w:val="none" w:color="000000" w:sz="4" w:space="0"/>
              <w:bottom w:val="none" w:color="000000" w:sz="4" w:space="0"/>
              <w:right w:val="none" w:color="000000" w:sz="4" w:space="0"/>
            </w:tcBorders>
            <w:tcW w:w="1100" w:type="dxa"/>
            <w:vAlign w:val="center"/>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M²</w:t>
            </w:r>
            <w:r>
              <w:rPr>
                <w:rFonts w:ascii="Arial" w:hAnsi="Arial" w:cs="Arial"/>
                <w:sz w:val="18"/>
                <w:szCs w:val="18"/>
              </w:rPr>
            </w:r>
          </w:p>
        </w:tc>
        <w:tc>
          <w:tcPr>
            <w:gridSpan w:val="5"/>
            <w:shd w:val="clear" w:color="ffffff" w:fill="ffffff"/>
            <w:tcBorders>
              <w:top w:val="none" w:color="000000" w:sz="4" w:space="0"/>
              <w:left w:val="none" w:color="000000" w:sz="4" w:space="0"/>
              <w:bottom w:val="none" w:color="000000" w:sz="4" w:space="0"/>
              <w:right w:val="none" w:color="000000" w:sz="4" w:space="0"/>
            </w:tcBorders>
            <w:tcW w:w="1652" w:type="dxa"/>
            <w:vAlign w:val="center"/>
            <w:textDirection w:val="lrTb"/>
            <w:noWrap w:val="false"/>
          </w:tcPr>
          <w:p>
            <w:pPr>
              <w:pStyle w:val="1056"/>
              <w:pBdr/>
              <w:spacing w:after="120" w:before="120"/>
              <w:ind/>
              <w:jc w:val="right"/>
              <w:rPr>
                <w:rFonts w:ascii="Arial" w:hAnsi="Arial" w:cs="Arial"/>
                <w:sz w:val="18"/>
                <w:szCs w:val="18"/>
              </w:rPr>
            </w:pPr>
            <w:r>
              <w:rPr>
                <w:rFonts w:eastAsia="Arial" w:cs="Arial"/>
                <w:color w:val="000000"/>
                <w:sz w:val="18"/>
                <w:szCs w:val="18"/>
              </w:rPr>
              <w:t xml:space="preserve">1,67</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2"/>
            <w:shd w:val="clear" w:color="ffffff" w:fill="ffffff"/>
            <w:tcBorders>
              <w:top w:val="none" w:color="000000" w:sz="4" w:space="0"/>
              <w:left w:val="none" w:color="000000" w:sz="4" w:space="0"/>
              <w:bottom w:val="none" w:color="000000" w:sz="4" w:space="0"/>
              <w:right w:val="none" w:color="000000" w:sz="4" w:space="0"/>
            </w:tcBorders>
            <w:tcW w:w="1711" w:type="dxa"/>
            <w:vAlign w:val="center"/>
            <w:textDirection w:val="lrTb"/>
            <w:noWrap w:val="false"/>
          </w:tcPr>
          <w:p>
            <w:pPr>
              <w:pStyle w:val="1056"/>
              <w:pBdr/>
              <w:spacing w:after="120" w:before="120"/>
              <w:ind/>
              <w:jc w:val="right"/>
              <w:rPr>
                <w:rFonts w:ascii="Arial" w:hAnsi="Arial" w:cs="Arial"/>
                <w:sz w:val="18"/>
                <w:szCs w:val="18"/>
              </w:rPr>
            </w:pPr>
            <w:r>
              <w:rPr>
                <w:rFonts w:eastAsia="Arial" w:cs="Arial"/>
                <w:color w:val="000000"/>
                <w:sz w:val="18"/>
                <w:szCs w:val="18"/>
              </w:rPr>
              <w:t xml:space="preserve">70.088,73</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2"/>
            <w:shd w:val="clear" w:color="ffffff" w:fill="ffffff"/>
            <w:tcBorders>
              <w:top w:val="none" w:color="000000" w:sz="4" w:space="0"/>
              <w:left w:val="none" w:color="000000" w:sz="4" w:space="0"/>
              <w:bottom w:val="none" w:color="000000" w:sz="4" w:space="0"/>
              <w:right w:val="none" w:color="000000" w:sz="4" w:space="0"/>
            </w:tcBorders>
            <w:tcW w:w="737" w:type="dxa"/>
            <w:vAlign w:val="center"/>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PERDEU</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399"/>
        </w:trPr>
        <w:tc>
          <w:tcPr>
            <w:gridSpan w:val="10"/>
            <w:shd w:val="clear" w:color="ffffff" w:fill="ffffff"/>
            <w:tcBorders>
              <w:top w:val="none" w:color="000000" w:sz="4" w:space="0"/>
              <w:left w:val="none" w:color="000000" w:sz="4" w:space="0"/>
              <w:bottom w:val="none" w:color="000000" w:sz="4" w:space="0"/>
              <w:right w:val="none" w:color="000000" w:sz="4" w:space="0"/>
            </w:tcBorders>
            <w:tcW w:w="1606" w:type="dxa"/>
            <w:vAlign w:val="center"/>
            <w:vMerge w:val="restart"/>
            <w:textDirection w:val="lrTb"/>
            <w:noWrap w:val="false"/>
          </w:tcPr>
          <w:p>
            <w:pPr>
              <w:pStyle w:val="1056"/>
              <w:pBdr/>
              <w:spacing w:after="120" w:before="120"/>
              <w:ind/>
              <w:rPr>
                <w:rFonts w:ascii="Arial" w:hAnsi="Arial" w:cs="Arial"/>
                <w:sz w:val="18"/>
                <w:szCs w:val="18"/>
              </w:rPr>
            </w:pPr>
            <w:r>
              <w:rPr>
                <w:rFonts w:eastAsia="Arial" w:cs="Arial"/>
                <w:color w:val="000000"/>
                <w:sz w:val="18"/>
                <w:szCs w:val="18"/>
              </w:rPr>
              <w:t xml:space="preserve">GALACTICO INSTALACAO, CONSERVACAO E MANUTENCAO EM GERAL LTDA</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04" w:type="dxa"/>
            <w:vAlign w:val="center"/>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98" w:type="dxa"/>
            <w:vAlign w:val="center"/>
            <w:textDirection w:val="lrTb"/>
            <w:noWrap w:val="false"/>
          </w:tcPr>
          <w:p>
            <w:pPr>
              <w:pStyle w:val="1056"/>
              <w:pBdr/>
              <w:spacing w:after="120" w:before="120"/>
              <w:ind/>
              <w:jc w:val="right"/>
              <w:rPr>
                <w:rFonts w:ascii="Arial" w:hAnsi="Arial" w:cs="Arial"/>
                <w:sz w:val="18"/>
                <w:szCs w:val="18"/>
              </w:rPr>
            </w:pPr>
            <w:r>
              <w:rPr>
                <w:rFonts w:eastAsia="Arial" w:cs="Arial"/>
                <w:color w:val="000000"/>
                <w:sz w:val="18"/>
                <w:szCs w:val="18"/>
              </w:rPr>
              <w:t xml:space="preserve">41.969,30</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3"/>
            <w:shd w:val="clear" w:color="ffffff" w:fill="ffffff"/>
            <w:tcBorders>
              <w:top w:val="none" w:color="000000" w:sz="4" w:space="0"/>
              <w:left w:val="none" w:color="000000" w:sz="4" w:space="0"/>
              <w:bottom w:val="none" w:color="000000" w:sz="4" w:space="0"/>
              <w:right w:val="none" w:color="000000" w:sz="4" w:space="0"/>
            </w:tcBorders>
            <w:tcW w:w="1100" w:type="dxa"/>
            <w:vAlign w:val="center"/>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M²</w:t>
            </w:r>
            <w:r>
              <w:rPr>
                <w:rFonts w:ascii="Arial" w:hAnsi="Arial" w:cs="Arial"/>
                <w:sz w:val="18"/>
                <w:szCs w:val="18"/>
              </w:rPr>
            </w:r>
          </w:p>
        </w:tc>
        <w:tc>
          <w:tcPr>
            <w:gridSpan w:val="5"/>
            <w:shd w:val="clear" w:color="ffffff" w:fill="ffffff"/>
            <w:tcBorders>
              <w:top w:val="none" w:color="000000" w:sz="4" w:space="0"/>
              <w:left w:val="none" w:color="000000" w:sz="4" w:space="0"/>
              <w:bottom w:val="none" w:color="000000" w:sz="4" w:space="0"/>
              <w:right w:val="none" w:color="000000" w:sz="4" w:space="0"/>
            </w:tcBorders>
            <w:tcW w:w="1652" w:type="dxa"/>
            <w:vAlign w:val="center"/>
            <w:textDirection w:val="lrTb"/>
            <w:noWrap w:val="false"/>
          </w:tcPr>
          <w:p>
            <w:pPr>
              <w:pStyle w:val="1056"/>
              <w:pBdr/>
              <w:spacing w:after="120" w:before="120"/>
              <w:ind/>
              <w:jc w:val="right"/>
              <w:rPr>
                <w:rFonts w:ascii="Arial" w:hAnsi="Arial" w:cs="Arial"/>
                <w:sz w:val="18"/>
                <w:szCs w:val="18"/>
              </w:rPr>
            </w:pPr>
            <w:r>
              <w:rPr>
                <w:rFonts w:eastAsia="Arial" w:cs="Arial"/>
                <w:color w:val="000000"/>
                <w:sz w:val="18"/>
                <w:szCs w:val="18"/>
              </w:rPr>
              <w:t xml:space="preserve">1,60</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2"/>
            <w:shd w:val="clear" w:color="ffffff" w:fill="ffffff"/>
            <w:tcBorders>
              <w:top w:val="none" w:color="000000" w:sz="4" w:space="0"/>
              <w:left w:val="none" w:color="000000" w:sz="4" w:space="0"/>
              <w:bottom w:val="none" w:color="000000" w:sz="4" w:space="0"/>
              <w:right w:val="none" w:color="000000" w:sz="4" w:space="0"/>
            </w:tcBorders>
            <w:tcW w:w="1711" w:type="dxa"/>
            <w:vAlign w:val="center"/>
            <w:textDirection w:val="lrTb"/>
            <w:noWrap w:val="false"/>
          </w:tcPr>
          <w:p>
            <w:pPr>
              <w:pStyle w:val="1056"/>
              <w:pBdr/>
              <w:spacing w:after="120" w:before="120"/>
              <w:ind/>
              <w:jc w:val="right"/>
              <w:rPr>
                <w:rFonts w:ascii="Arial" w:hAnsi="Arial" w:cs="Arial"/>
                <w:sz w:val="18"/>
                <w:szCs w:val="18"/>
              </w:rPr>
            </w:pPr>
            <w:r>
              <w:rPr>
                <w:rFonts w:eastAsia="Arial" w:cs="Arial"/>
                <w:color w:val="000000"/>
                <w:sz w:val="18"/>
                <w:szCs w:val="18"/>
              </w:rPr>
              <w:t xml:space="preserve">67.150,88</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2"/>
            <w:shd w:val="clear" w:color="ffffff" w:fill="ffffff"/>
            <w:tcBorders>
              <w:top w:val="none" w:color="000000" w:sz="4" w:space="0"/>
              <w:left w:val="none" w:color="000000" w:sz="4" w:space="0"/>
              <w:bottom w:val="none" w:color="000000" w:sz="4" w:space="0"/>
              <w:right w:val="none" w:color="000000" w:sz="4" w:space="0"/>
            </w:tcBorders>
            <w:tcW w:w="737" w:type="dxa"/>
            <w:vAlign w:val="center"/>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PERDEU</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571"/>
        </w:trPr>
        <w:tc>
          <w:tcPr>
            <w:gridSpan w:val="10"/>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1606" w:type="dxa"/>
            <w:vMerge w:val="continue"/>
            <w:textDirection w:val="lrTb"/>
            <w:noWrap w:val="false"/>
          </w:tcPr>
          <w:p>
            <w:pPr>
              <w:pStyle w:val="1056"/>
              <w:pBdr/>
              <w:spacing w:after="120" w:before="120"/>
              <w:ind/>
              <w:rPr/>
            </w:pPr>
            <w: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0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98"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52"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6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83"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4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01"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33"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09"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02"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2"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399"/>
        </w:trPr>
        <w:tc>
          <w:tcPr>
            <w:gridSpan w:val="10"/>
            <w:shd w:val="clear" w:color="ffffff" w:fill="ffffff"/>
            <w:tcBorders>
              <w:top w:val="none" w:color="000000" w:sz="4" w:space="0"/>
              <w:left w:val="none" w:color="000000" w:sz="4" w:space="0"/>
              <w:bottom w:val="none" w:color="000000" w:sz="4" w:space="0"/>
              <w:right w:val="none" w:color="000000" w:sz="4" w:space="0"/>
            </w:tcBorders>
            <w:tcW w:w="1606" w:type="dxa"/>
            <w:vAlign w:val="center"/>
            <w:vMerge w:val="restart"/>
            <w:textDirection w:val="lrTb"/>
            <w:noWrap w:val="false"/>
          </w:tcPr>
          <w:p>
            <w:pPr>
              <w:pStyle w:val="1056"/>
              <w:pBdr/>
              <w:spacing w:after="120" w:before="120"/>
              <w:ind/>
              <w:rPr>
                <w:rFonts w:ascii="Arial" w:hAnsi="Arial" w:cs="Arial"/>
                <w:sz w:val="18"/>
                <w:szCs w:val="18"/>
              </w:rPr>
            </w:pPr>
            <w:r>
              <w:rPr>
                <w:rFonts w:eastAsia="Arial" w:cs="Arial"/>
                <w:color w:val="000000"/>
                <w:sz w:val="18"/>
                <w:szCs w:val="18"/>
              </w:rPr>
              <w:t xml:space="preserve">IMUNIMAD CONTROLE DE VETORES E PRAGAS LTDA - EM RECUPERACAO JUDICIAL</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04" w:type="dxa"/>
            <w:vAlign w:val="center"/>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98" w:type="dxa"/>
            <w:vAlign w:val="center"/>
            <w:textDirection w:val="lrTb"/>
            <w:noWrap w:val="false"/>
          </w:tcPr>
          <w:p>
            <w:pPr>
              <w:pStyle w:val="1056"/>
              <w:pBdr/>
              <w:spacing w:after="120" w:before="120"/>
              <w:ind/>
              <w:jc w:val="right"/>
              <w:rPr>
                <w:rFonts w:ascii="Arial" w:hAnsi="Arial" w:cs="Arial"/>
                <w:sz w:val="18"/>
                <w:szCs w:val="18"/>
              </w:rPr>
            </w:pPr>
            <w:r>
              <w:rPr>
                <w:rFonts w:eastAsia="Arial" w:cs="Arial"/>
                <w:color w:val="000000"/>
                <w:sz w:val="18"/>
                <w:szCs w:val="18"/>
              </w:rPr>
              <w:t xml:space="preserve">41.969,30</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3"/>
            <w:shd w:val="clear" w:color="ffffff" w:fill="ffffff"/>
            <w:tcBorders>
              <w:top w:val="none" w:color="000000" w:sz="4" w:space="0"/>
              <w:left w:val="none" w:color="000000" w:sz="4" w:space="0"/>
              <w:bottom w:val="none" w:color="000000" w:sz="4" w:space="0"/>
              <w:right w:val="none" w:color="000000" w:sz="4" w:space="0"/>
            </w:tcBorders>
            <w:tcW w:w="1100" w:type="dxa"/>
            <w:vAlign w:val="center"/>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M²</w:t>
            </w:r>
            <w:r>
              <w:rPr>
                <w:rFonts w:ascii="Arial" w:hAnsi="Arial" w:cs="Arial"/>
                <w:sz w:val="18"/>
                <w:szCs w:val="18"/>
              </w:rPr>
            </w:r>
          </w:p>
        </w:tc>
        <w:tc>
          <w:tcPr>
            <w:gridSpan w:val="5"/>
            <w:shd w:val="clear" w:color="ffffff" w:fill="ffffff"/>
            <w:tcBorders>
              <w:top w:val="none" w:color="000000" w:sz="4" w:space="0"/>
              <w:left w:val="none" w:color="000000" w:sz="4" w:space="0"/>
              <w:bottom w:val="none" w:color="000000" w:sz="4" w:space="0"/>
              <w:right w:val="none" w:color="000000" w:sz="4" w:space="0"/>
            </w:tcBorders>
            <w:tcW w:w="1652" w:type="dxa"/>
            <w:vAlign w:val="center"/>
            <w:textDirection w:val="lrTb"/>
            <w:noWrap w:val="false"/>
          </w:tcPr>
          <w:p>
            <w:pPr>
              <w:pStyle w:val="1056"/>
              <w:pBdr/>
              <w:spacing w:after="120" w:before="120"/>
              <w:ind/>
              <w:jc w:val="right"/>
              <w:rPr>
                <w:rFonts w:ascii="Arial" w:hAnsi="Arial" w:cs="Arial"/>
                <w:sz w:val="18"/>
                <w:szCs w:val="18"/>
              </w:rPr>
            </w:pPr>
            <w:r>
              <w:rPr>
                <w:rFonts w:eastAsia="Arial" w:cs="Arial"/>
                <w:color w:val="000000"/>
                <w:sz w:val="18"/>
                <w:szCs w:val="18"/>
              </w:rPr>
              <w:t xml:space="preserve">1,81</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2"/>
            <w:shd w:val="clear" w:color="ffffff" w:fill="ffffff"/>
            <w:tcBorders>
              <w:top w:val="none" w:color="000000" w:sz="4" w:space="0"/>
              <w:left w:val="none" w:color="000000" w:sz="4" w:space="0"/>
              <w:bottom w:val="none" w:color="000000" w:sz="4" w:space="0"/>
              <w:right w:val="none" w:color="000000" w:sz="4" w:space="0"/>
            </w:tcBorders>
            <w:tcW w:w="1711" w:type="dxa"/>
            <w:vAlign w:val="center"/>
            <w:textDirection w:val="lrTb"/>
            <w:noWrap w:val="false"/>
          </w:tcPr>
          <w:p>
            <w:pPr>
              <w:pStyle w:val="1056"/>
              <w:pBdr/>
              <w:spacing w:after="120" w:before="120"/>
              <w:ind/>
              <w:jc w:val="right"/>
              <w:rPr>
                <w:rFonts w:ascii="Arial" w:hAnsi="Arial" w:cs="Arial"/>
                <w:sz w:val="18"/>
                <w:szCs w:val="18"/>
              </w:rPr>
            </w:pPr>
            <w:r>
              <w:rPr>
                <w:rFonts w:eastAsia="Arial" w:cs="Arial"/>
                <w:color w:val="000000"/>
                <w:sz w:val="18"/>
                <w:szCs w:val="18"/>
              </w:rPr>
              <w:t xml:space="preserve">75.964,43</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2"/>
            <w:shd w:val="clear" w:color="ffffff" w:fill="ffffff"/>
            <w:tcBorders>
              <w:top w:val="none" w:color="000000" w:sz="4" w:space="0"/>
              <w:left w:val="none" w:color="000000" w:sz="4" w:space="0"/>
              <w:bottom w:val="none" w:color="000000" w:sz="4" w:space="0"/>
              <w:right w:val="none" w:color="000000" w:sz="4" w:space="0"/>
            </w:tcBorders>
            <w:tcW w:w="737" w:type="dxa"/>
            <w:vAlign w:val="center"/>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PERDEU</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813"/>
        </w:trPr>
        <w:tc>
          <w:tcPr>
            <w:gridSpan w:val="10"/>
            <w:tcBorders>
              <w:top w:val="none" w:color="000000" w:sz="4" w:space="0"/>
              <w:left w:val="none" w:color="000000" w:sz="4" w:space="0"/>
              <w:bottom w:val="none" w:color="000000" w:sz="4" w:space="0"/>
              <w:right w:val="none" w:color="000000" w:sz="4" w:space="0"/>
            </w:tcBorders>
            <w:tcMar>
              <w:left w:w="108" w:type="dxa"/>
              <w:top w:w="0" w:type="dxa"/>
              <w:right w:w="108" w:type="dxa"/>
              <w:bottom w:w="0" w:type="dxa"/>
            </w:tcMar>
            <w:tcW w:w="1606" w:type="dxa"/>
            <w:vMerge w:val="continue"/>
            <w:textDirection w:val="lrTb"/>
            <w:noWrap w:val="false"/>
          </w:tcPr>
          <w:p>
            <w:pPr>
              <w:pStyle w:val="1056"/>
              <w:pBdr/>
              <w:spacing w:after="120" w:before="120"/>
              <w:ind/>
              <w:rPr/>
            </w:pPr>
            <w: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0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98"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52"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6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83"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4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01"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33"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09"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02"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2"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737"/>
        </w:trPr>
        <w:tc>
          <w:tcPr>
            <w:gridSpan w:val="10"/>
            <w:shd w:val="clear" w:color="ffffff" w:fill="ffffff"/>
            <w:tcBorders>
              <w:top w:val="none" w:color="000000" w:sz="4" w:space="0"/>
              <w:left w:val="none" w:color="000000" w:sz="4" w:space="0"/>
              <w:bottom w:val="none" w:color="000000" w:sz="4" w:space="0"/>
              <w:right w:val="none" w:color="000000" w:sz="4" w:space="0"/>
            </w:tcBorders>
            <w:tcW w:w="1606" w:type="dxa"/>
            <w:vAlign w:val="center"/>
            <w:textDirection w:val="lrTb"/>
            <w:noWrap w:val="false"/>
          </w:tcPr>
          <w:p>
            <w:pPr>
              <w:pStyle w:val="1056"/>
              <w:pBdr/>
              <w:spacing w:after="120" w:before="120"/>
              <w:ind/>
              <w:rPr>
                <w:rFonts w:ascii="Arial" w:hAnsi="Arial" w:cs="Arial"/>
                <w:sz w:val="18"/>
                <w:szCs w:val="18"/>
              </w:rPr>
            </w:pPr>
            <w:r>
              <w:rPr>
                <w:rFonts w:eastAsia="Arial" w:cs="Arial"/>
                <w:color w:val="000000"/>
                <w:sz w:val="18"/>
                <w:szCs w:val="18"/>
              </w:rPr>
              <w:t xml:space="preserve">INSET GLOBAL CONTROLE DE VETORES E PRAGAS LTDA</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04" w:type="dxa"/>
            <w:vAlign w:val="center"/>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98" w:type="dxa"/>
            <w:vAlign w:val="center"/>
            <w:textDirection w:val="lrTb"/>
            <w:noWrap w:val="false"/>
          </w:tcPr>
          <w:p>
            <w:pPr>
              <w:pStyle w:val="1056"/>
              <w:pBdr/>
              <w:spacing w:after="120" w:before="120"/>
              <w:ind/>
              <w:jc w:val="right"/>
              <w:rPr>
                <w:rFonts w:ascii="Arial" w:hAnsi="Arial" w:cs="Arial"/>
                <w:sz w:val="18"/>
                <w:szCs w:val="18"/>
              </w:rPr>
            </w:pPr>
            <w:r>
              <w:rPr>
                <w:rFonts w:eastAsia="Arial" w:cs="Arial"/>
                <w:color w:val="000000"/>
                <w:sz w:val="18"/>
                <w:szCs w:val="18"/>
              </w:rPr>
              <w:t xml:space="preserve">41.969,30</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3"/>
            <w:shd w:val="clear" w:color="ffffff" w:fill="ffffff"/>
            <w:tcBorders>
              <w:top w:val="none" w:color="000000" w:sz="4" w:space="0"/>
              <w:left w:val="none" w:color="000000" w:sz="4" w:space="0"/>
              <w:bottom w:val="none" w:color="000000" w:sz="4" w:space="0"/>
              <w:right w:val="none" w:color="000000" w:sz="4" w:space="0"/>
            </w:tcBorders>
            <w:tcW w:w="1100" w:type="dxa"/>
            <w:vAlign w:val="center"/>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M²</w:t>
            </w:r>
            <w:r>
              <w:rPr>
                <w:rFonts w:ascii="Arial" w:hAnsi="Arial" w:cs="Arial"/>
                <w:sz w:val="18"/>
                <w:szCs w:val="18"/>
              </w:rPr>
            </w:r>
          </w:p>
        </w:tc>
        <w:tc>
          <w:tcPr>
            <w:gridSpan w:val="5"/>
            <w:shd w:val="clear" w:color="ffffff" w:fill="ffffff"/>
            <w:tcBorders>
              <w:top w:val="none" w:color="000000" w:sz="4" w:space="0"/>
              <w:left w:val="none" w:color="000000" w:sz="4" w:space="0"/>
              <w:bottom w:val="none" w:color="000000" w:sz="4" w:space="0"/>
              <w:right w:val="none" w:color="000000" w:sz="4" w:space="0"/>
            </w:tcBorders>
            <w:tcW w:w="1652" w:type="dxa"/>
            <w:vAlign w:val="center"/>
            <w:textDirection w:val="lrTb"/>
            <w:noWrap w:val="false"/>
          </w:tcPr>
          <w:p>
            <w:pPr>
              <w:pStyle w:val="1056"/>
              <w:pBdr/>
              <w:spacing w:after="120" w:before="120"/>
              <w:ind/>
              <w:jc w:val="right"/>
              <w:rPr>
                <w:rFonts w:ascii="Arial" w:hAnsi="Arial" w:cs="Arial"/>
                <w:sz w:val="18"/>
                <w:szCs w:val="18"/>
              </w:rPr>
            </w:pPr>
            <w:r>
              <w:rPr>
                <w:rFonts w:eastAsia="Arial" w:cs="Arial"/>
                <w:color w:val="000000"/>
                <w:sz w:val="18"/>
                <w:szCs w:val="18"/>
              </w:rPr>
              <w:t xml:space="preserve">1,98</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2"/>
            <w:shd w:val="clear" w:color="ffffff" w:fill="ffffff"/>
            <w:tcBorders>
              <w:top w:val="none" w:color="000000" w:sz="4" w:space="0"/>
              <w:left w:val="none" w:color="000000" w:sz="4" w:space="0"/>
              <w:bottom w:val="none" w:color="000000" w:sz="4" w:space="0"/>
              <w:right w:val="none" w:color="000000" w:sz="4" w:space="0"/>
            </w:tcBorders>
            <w:tcW w:w="1711" w:type="dxa"/>
            <w:vAlign w:val="center"/>
            <w:textDirection w:val="lrTb"/>
            <w:noWrap w:val="false"/>
          </w:tcPr>
          <w:p>
            <w:pPr>
              <w:pStyle w:val="1056"/>
              <w:pBdr/>
              <w:spacing w:after="120" w:before="120"/>
              <w:ind/>
              <w:jc w:val="right"/>
              <w:rPr>
                <w:rFonts w:ascii="Arial" w:hAnsi="Arial" w:cs="Arial"/>
                <w:sz w:val="18"/>
                <w:szCs w:val="18"/>
              </w:rPr>
            </w:pPr>
            <w:r>
              <w:rPr>
                <w:rFonts w:eastAsia="Arial" w:cs="Arial"/>
                <w:color w:val="000000"/>
                <w:sz w:val="18"/>
                <w:szCs w:val="18"/>
              </w:rPr>
              <w:t xml:space="preserve">83.099,21</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2"/>
            <w:shd w:val="clear" w:color="ffffff" w:fill="ffffff"/>
            <w:tcBorders>
              <w:top w:val="none" w:color="000000" w:sz="4" w:space="0"/>
              <w:left w:val="none" w:color="000000" w:sz="4" w:space="0"/>
              <w:bottom w:val="none" w:color="000000" w:sz="4" w:space="0"/>
              <w:right w:val="none" w:color="000000" w:sz="4" w:space="0"/>
            </w:tcBorders>
            <w:tcW w:w="737" w:type="dxa"/>
            <w:vAlign w:val="center"/>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PERDEU</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495"/>
        </w:trPr>
        <w:tc>
          <w:tcPr>
            <w:gridSpan w:val="10"/>
            <w:shd w:val="clear" w:color="ffffff" w:fill="ffffff"/>
            <w:tcBorders>
              <w:top w:val="none" w:color="000000" w:sz="4" w:space="0"/>
              <w:left w:val="none" w:color="000000" w:sz="4" w:space="0"/>
              <w:bottom w:val="none" w:color="000000" w:sz="4" w:space="0"/>
              <w:right w:val="none" w:color="000000" w:sz="4" w:space="0"/>
            </w:tcBorders>
            <w:tcW w:w="1606" w:type="dxa"/>
            <w:vAlign w:val="center"/>
            <w:textDirection w:val="lrTb"/>
            <w:noWrap w:val="false"/>
          </w:tcPr>
          <w:p>
            <w:pPr>
              <w:pStyle w:val="1056"/>
              <w:pBdr/>
              <w:spacing w:after="120" w:before="120"/>
              <w:ind/>
              <w:rPr>
                <w:rFonts w:ascii="Arial" w:hAnsi="Arial" w:cs="Arial"/>
                <w:sz w:val="18"/>
                <w:szCs w:val="18"/>
              </w:rPr>
            </w:pPr>
            <w:r>
              <w:rPr>
                <w:rFonts w:eastAsia="Arial" w:cs="Arial"/>
                <w:color w:val="000000"/>
                <w:sz w:val="18"/>
                <w:szCs w:val="18"/>
              </w:rPr>
              <w:t xml:space="preserve">MMX RIO SOLUCOES AMBIENTAIS LTDA</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04" w:type="dxa"/>
            <w:vAlign w:val="center"/>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98" w:type="dxa"/>
            <w:vAlign w:val="center"/>
            <w:textDirection w:val="lrTb"/>
            <w:noWrap w:val="false"/>
          </w:tcPr>
          <w:p>
            <w:pPr>
              <w:pStyle w:val="1056"/>
              <w:pBdr/>
              <w:spacing w:after="120" w:before="120"/>
              <w:ind/>
              <w:jc w:val="right"/>
              <w:rPr>
                <w:rFonts w:ascii="Arial" w:hAnsi="Arial" w:cs="Arial"/>
                <w:sz w:val="18"/>
                <w:szCs w:val="18"/>
              </w:rPr>
            </w:pPr>
            <w:r>
              <w:rPr>
                <w:rFonts w:eastAsia="Arial" w:cs="Arial"/>
                <w:color w:val="000000"/>
                <w:sz w:val="18"/>
                <w:szCs w:val="18"/>
              </w:rPr>
              <w:t xml:space="preserve">41.969,30</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3"/>
            <w:shd w:val="clear" w:color="ffffff" w:fill="ffffff"/>
            <w:tcBorders>
              <w:top w:val="none" w:color="000000" w:sz="4" w:space="0"/>
              <w:left w:val="none" w:color="000000" w:sz="4" w:space="0"/>
              <w:bottom w:val="none" w:color="000000" w:sz="4" w:space="0"/>
              <w:right w:val="none" w:color="000000" w:sz="4" w:space="0"/>
            </w:tcBorders>
            <w:tcW w:w="1100" w:type="dxa"/>
            <w:vAlign w:val="center"/>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M²</w:t>
            </w:r>
            <w:r>
              <w:rPr>
                <w:rFonts w:ascii="Arial" w:hAnsi="Arial" w:cs="Arial"/>
                <w:sz w:val="18"/>
                <w:szCs w:val="18"/>
              </w:rPr>
            </w:r>
          </w:p>
        </w:tc>
        <w:tc>
          <w:tcPr>
            <w:gridSpan w:val="5"/>
            <w:shd w:val="clear" w:color="ffffff" w:fill="ffffff"/>
            <w:tcBorders>
              <w:top w:val="none" w:color="000000" w:sz="4" w:space="0"/>
              <w:left w:val="none" w:color="000000" w:sz="4" w:space="0"/>
              <w:bottom w:val="none" w:color="000000" w:sz="4" w:space="0"/>
              <w:right w:val="none" w:color="000000" w:sz="4" w:space="0"/>
            </w:tcBorders>
            <w:tcW w:w="1652" w:type="dxa"/>
            <w:vAlign w:val="center"/>
            <w:textDirection w:val="lrTb"/>
            <w:noWrap w:val="false"/>
          </w:tcPr>
          <w:p>
            <w:pPr>
              <w:pStyle w:val="1056"/>
              <w:pBdr/>
              <w:spacing w:after="120" w:before="120"/>
              <w:ind/>
              <w:jc w:val="right"/>
              <w:rPr>
                <w:rFonts w:ascii="Arial" w:hAnsi="Arial" w:cs="Arial"/>
                <w:sz w:val="18"/>
                <w:szCs w:val="18"/>
              </w:rPr>
            </w:pPr>
            <w:r>
              <w:rPr>
                <w:rFonts w:eastAsia="Arial" w:cs="Arial"/>
                <w:color w:val="000000"/>
                <w:sz w:val="18"/>
                <w:szCs w:val="18"/>
              </w:rPr>
              <w:t xml:space="preserve">1,54</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2"/>
            <w:shd w:val="clear" w:color="ffffff" w:fill="ffffff"/>
            <w:tcBorders>
              <w:top w:val="none" w:color="000000" w:sz="4" w:space="0"/>
              <w:left w:val="none" w:color="000000" w:sz="4" w:space="0"/>
              <w:bottom w:val="none" w:color="000000" w:sz="4" w:space="0"/>
              <w:right w:val="none" w:color="000000" w:sz="4" w:space="0"/>
            </w:tcBorders>
            <w:tcW w:w="1711" w:type="dxa"/>
            <w:vAlign w:val="center"/>
            <w:textDirection w:val="lrTb"/>
            <w:noWrap w:val="false"/>
          </w:tcPr>
          <w:p>
            <w:pPr>
              <w:pStyle w:val="1056"/>
              <w:pBdr/>
              <w:spacing w:after="120" w:before="120"/>
              <w:ind/>
              <w:jc w:val="right"/>
              <w:rPr>
                <w:rFonts w:ascii="Arial" w:hAnsi="Arial" w:cs="Arial"/>
                <w:sz w:val="18"/>
                <w:szCs w:val="18"/>
              </w:rPr>
            </w:pPr>
            <w:r>
              <w:rPr>
                <w:rFonts w:eastAsia="Arial" w:cs="Arial"/>
                <w:color w:val="000000"/>
                <w:sz w:val="18"/>
                <w:szCs w:val="18"/>
              </w:rPr>
              <w:t xml:space="preserve">64.632,72</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2"/>
            <w:shd w:val="clear" w:color="ffffff" w:fill="ffffff"/>
            <w:tcBorders>
              <w:top w:val="none" w:color="000000" w:sz="4" w:space="0"/>
              <w:left w:val="none" w:color="000000" w:sz="4" w:space="0"/>
              <w:bottom w:val="none" w:color="000000" w:sz="4" w:space="0"/>
              <w:right w:val="none" w:color="000000" w:sz="4" w:space="0"/>
            </w:tcBorders>
            <w:tcW w:w="737" w:type="dxa"/>
            <w:vAlign w:val="center"/>
            <w:textDirection w:val="lrTb"/>
            <w:noWrap w:val="false"/>
          </w:tcPr>
          <w:p>
            <w:pPr>
              <w:pStyle w:val="1056"/>
              <w:pBdr/>
              <w:spacing w:after="120" w:before="120"/>
              <w:ind/>
              <w:jc w:val="center"/>
              <w:rPr>
                <w:rFonts w:ascii="Arial" w:hAnsi="Arial" w:cs="Arial"/>
                <w:sz w:val="18"/>
                <w:szCs w:val="18"/>
              </w:rPr>
            </w:pPr>
            <w:r>
              <w:rPr>
                <w:rFonts w:eastAsia="Arial" w:cs="Arial"/>
                <w:color w:val="000000"/>
                <w:sz w:val="18"/>
                <w:szCs w:val="18"/>
              </w:rPr>
              <w:t xml:space="preserve">VENCEU</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399"/>
        </w:trPr>
        <w:tc>
          <w:tcPr>
            <w:shd w:val="clear" w:color="ffffff" w:fill="ffffff"/>
            <w:tcBorders>
              <w:top w:val="none" w:color="000000" w:sz="4" w:space="0"/>
              <w:left w:val="none" w:color="000000" w:sz="4" w:space="0"/>
              <w:bottom w:val="none" w:color="000000" w:sz="4" w:space="0"/>
              <w:right w:val="none" w:color="000000" w:sz="4" w:space="0"/>
            </w:tcBorders>
            <w:tcW w:w="101"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5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58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4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41"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0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98"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52"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6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83"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4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01"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33"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09"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02"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2"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399"/>
        </w:trPr>
        <w:tc>
          <w:tcPr>
            <w:shd w:val="clear" w:color="ffffff" w:fill="ffffff"/>
            <w:tcBorders>
              <w:top w:val="none" w:color="000000" w:sz="4" w:space="0"/>
              <w:left w:val="none" w:color="000000" w:sz="4" w:space="0"/>
              <w:bottom w:val="none" w:color="000000" w:sz="4" w:space="0"/>
              <w:right w:val="none" w:color="000000" w:sz="4" w:space="0"/>
            </w:tcBorders>
            <w:tcW w:w="101"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5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58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4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41"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9"/>
            <w:shd w:val="clear" w:color="ffffff" w:fill="ffffff"/>
            <w:tcBorders>
              <w:top w:val="none" w:color="000000" w:sz="4" w:space="0"/>
              <w:left w:val="none" w:color="000000" w:sz="4" w:space="0"/>
              <w:bottom w:val="none" w:color="000000" w:sz="4" w:space="0"/>
              <w:right w:val="none" w:color="000000" w:sz="4" w:space="0"/>
            </w:tcBorders>
            <w:tcW w:w="2387"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Preço Médio:</w:t>
            </w:r>
            <w:r>
              <w:rPr>
                <w:rFonts w:ascii="Arial" w:hAnsi="Arial" w:cs="Arial"/>
                <w:sz w:val="18"/>
                <w:szCs w:val="18"/>
              </w:rPr>
            </w:r>
          </w:p>
        </w:tc>
        <w:tc>
          <w:tcPr>
            <w:gridSpan w:val="4"/>
            <w:shd w:val="clear" w:color="ffffff" w:fill="ffffff"/>
            <w:tcBorders>
              <w:top w:val="none" w:color="000000" w:sz="4" w:space="0"/>
              <w:left w:val="none" w:color="000000" w:sz="4" w:space="0"/>
              <w:bottom w:val="none" w:color="000000" w:sz="4" w:space="0"/>
              <w:right w:val="none" w:color="000000" w:sz="4" w:space="0"/>
            </w:tcBorders>
            <w:tcW w:w="619"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1,72</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33"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09"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72.187,20</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02"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2"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399"/>
        </w:trPr>
        <w:tc>
          <w:tcPr>
            <w:shd w:val="clear" w:color="ffffff" w:fill="ffffff"/>
            <w:tcBorders>
              <w:top w:val="none" w:color="000000" w:sz="4" w:space="0"/>
              <w:left w:val="none" w:color="000000" w:sz="4" w:space="0"/>
              <w:bottom w:val="none" w:color="000000" w:sz="4" w:space="0"/>
              <w:right w:val="none" w:color="000000" w:sz="4" w:space="0"/>
            </w:tcBorders>
            <w:tcW w:w="101"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5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58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4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41"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9"/>
            <w:shd w:val="clear" w:color="ffffff" w:fill="ffffff"/>
            <w:tcBorders>
              <w:top w:val="none" w:color="000000" w:sz="4" w:space="0"/>
              <w:left w:val="none" w:color="000000" w:sz="4" w:space="0"/>
              <w:bottom w:val="none" w:color="000000" w:sz="4" w:space="0"/>
              <w:right w:val="none" w:color="000000" w:sz="4" w:space="0"/>
            </w:tcBorders>
            <w:tcW w:w="2387"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Melhor preço:</w:t>
            </w:r>
            <w:r>
              <w:rPr>
                <w:rFonts w:ascii="Arial" w:hAnsi="Arial" w:cs="Arial"/>
                <w:sz w:val="18"/>
                <w:szCs w:val="18"/>
              </w:rPr>
            </w:r>
          </w:p>
        </w:tc>
        <w:tc>
          <w:tcPr>
            <w:gridSpan w:val="4"/>
            <w:shd w:val="clear" w:color="ffffff" w:fill="ffffff"/>
            <w:tcBorders>
              <w:top w:val="none" w:color="000000" w:sz="4" w:space="0"/>
              <w:left w:val="none" w:color="000000" w:sz="4" w:space="0"/>
              <w:bottom w:val="none" w:color="000000" w:sz="4" w:space="0"/>
              <w:right w:val="none" w:color="000000" w:sz="4" w:space="0"/>
            </w:tcBorders>
            <w:tcW w:w="619"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1,54</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33"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09"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64.632,72</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02"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2"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399"/>
        </w:trPr>
        <w:tc>
          <w:tcPr>
            <w:shd w:val="clear" w:color="ffffff" w:fill="ffffff"/>
            <w:tcBorders>
              <w:top w:val="none" w:color="000000" w:sz="4" w:space="0"/>
              <w:left w:val="none" w:color="000000" w:sz="4" w:space="0"/>
              <w:bottom w:val="none" w:color="000000" w:sz="4" w:space="0"/>
              <w:right w:val="none" w:color="000000" w:sz="4" w:space="0"/>
            </w:tcBorders>
            <w:tcW w:w="101"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5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58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4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41"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9"/>
            <w:shd w:val="clear" w:color="ffffff" w:fill="ffffff"/>
            <w:tcBorders>
              <w:top w:val="none" w:color="000000" w:sz="4" w:space="0"/>
              <w:left w:val="none" w:color="000000" w:sz="4" w:space="0"/>
              <w:bottom w:val="none" w:color="000000" w:sz="4" w:space="0"/>
              <w:right w:val="none" w:color="000000" w:sz="4" w:space="0"/>
            </w:tcBorders>
            <w:tcW w:w="2387"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Preço Mediano:</w:t>
            </w:r>
            <w:r>
              <w:rPr>
                <w:rFonts w:ascii="Arial" w:hAnsi="Arial" w:cs="Arial"/>
                <w:sz w:val="18"/>
                <w:szCs w:val="18"/>
              </w:rPr>
            </w:r>
          </w:p>
        </w:tc>
        <w:tc>
          <w:tcPr>
            <w:gridSpan w:val="4"/>
            <w:shd w:val="clear" w:color="ffffff" w:fill="ffffff"/>
            <w:tcBorders>
              <w:top w:val="none" w:color="000000" w:sz="4" w:space="0"/>
              <w:left w:val="none" w:color="000000" w:sz="4" w:space="0"/>
              <w:bottom w:val="none" w:color="000000" w:sz="4" w:space="0"/>
              <w:right w:val="none" w:color="000000" w:sz="4" w:space="0"/>
            </w:tcBorders>
            <w:tcW w:w="619"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1,67</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33"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09"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70.088,73</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02"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2"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399"/>
        </w:trPr>
        <w:tc>
          <w:tcPr>
            <w:shd w:val="clear" w:color="ffffff" w:fill="ffffff"/>
            <w:tcBorders>
              <w:top w:val="none" w:color="000000" w:sz="4" w:space="0"/>
              <w:left w:val="none" w:color="000000" w:sz="4" w:space="0"/>
              <w:bottom w:val="none" w:color="000000" w:sz="4" w:space="0"/>
              <w:right w:val="none" w:color="000000" w:sz="4" w:space="0"/>
            </w:tcBorders>
            <w:tcW w:w="101"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5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58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4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41"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9"/>
            <w:shd w:val="clear" w:color="ffffff" w:fill="ffffff"/>
            <w:tcBorders>
              <w:top w:val="none" w:color="000000" w:sz="4" w:space="0"/>
              <w:left w:val="none" w:color="000000" w:sz="4" w:space="0"/>
              <w:bottom w:val="none" w:color="000000" w:sz="4" w:space="0"/>
              <w:right w:val="none" w:color="000000" w:sz="4" w:space="0"/>
            </w:tcBorders>
            <w:tcW w:w="2387"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Média Saneada:</w:t>
            </w:r>
            <w:r>
              <w:rPr>
                <w:rFonts w:ascii="Arial" w:hAnsi="Arial" w:cs="Arial"/>
                <w:sz w:val="18"/>
                <w:szCs w:val="18"/>
              </w:rPr>
            </w:r>
          </w:p>
        </w:tc>
        <w:tc>
          <w:tcPr>
            <w:gridSpan w:val="4"/>
            <w:shd w:val="clear" w:color="ffffff" w:fill="ffffff"/>
            <w:tcBorders>
              <w:top w:val="none" w:color="000000" w:sz="4" w:space="0"/>
              <w:left w:val="none" w:color="000000" w:sz="4" w:space="0"/>
              <w:bottom w:val="none" w:color="000000" w:sz="4" w:space="0"/>
              <w:right w:val="none" w:color="000000" w:sz="4" w:space="0"/>
            </w:tcBorders>
            <w:tcW w:w="619"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1,69</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33"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09"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71.068,01</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02"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2"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399"/>
        </w:trPr>
        <w:tc>
          <w:tcPr>
            <w:shd w:val="clear" w:color="ffffff" w:fill="ffffff"/>
            <w:tcBorders>
              <w:top w:val="none" w:color="000000" w:sz="4" w:space="0"/>
              <w:left w:val="none" w:color="000000" w:sz="4" w:space="0"/>
              <w:bottom w:val="none" w:color="000000" w:sz="4" w:space="0"/>
              <w:right w:val="none" w:color="000000" w:sz="4" w:space="0"/>
            </w:tcBorders>
            <w:tcW w:w="101"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5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58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4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41"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9"/>
            <w:shd w:val="clear" w:color="ffffff" w:fill="ffffff"/>
            <w:tcBorders>
              <w:top w:val="none" w:color="000000" w:sz="4" w:space="0"/>
              <w:left w:val="none" w:color="000000" w:sz="4" w:space="0"/>
              <w:bottom w:val="none" w:color="000000" w:sz="4" w:space="0"/>
              <w:right w:val="none" w:color="000000" w:sz="4" w:space="0"/>
            </w:tcBorders>
            <w:tcW w:w="2387"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Coeficiente de Variação:</w:t>
            </w:r>
            <w:r>
              <w:rPr>
                <w:rFonts w:ascii="Arial" w:hAnsi="Arial" w:cs="Arial"/>
                <w:sz w:val="18"/>
                <w:szCs w:val="18"/>
              </w:rPr>
            </w:r>
          </w:p>
        </w:tc>
        <w:tc>
          <w:tcPr>
            <w:gridSpan w:val="4"/>
            <w:shd w:val="clear" w:color="ffffff" w:fill="ffffff"/>
            <w:tcBorders>
              <w:top w:val="none" w:color="000000" w:sz="4" w:space="0"/>
              <w:left w:val="none" w:color="000000" w:sz="4" w:space="0"/>
              <w:bottom w:val="none" w:color="000000" w:sz="4" w:space="0"/>
              <w:right w:val="none" w:color="000000" w:sz="4" w:space="0"/>
            </w:tcBorders>
            <w:tcW w:w="619"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10.28%</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33"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09"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10.28%</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02"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2"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399"/>
        </w:trPr>
        <w:tc>
          <w:tcPr>
            <w:shd w:val="clear" w:color="ffffff" w:fill="ffffff"/>
            <w:tcBorders>
              <w:top w:val="none" w:color="000000" w:sz="4" w:space="0"/>
              <w:left w:val="none" w:color="000000" w:sz="4" w:space="0"/>
              <w:bottom w:val="none" w:color="000000" w:sz="4" w:space="0"/>
              <w:right w:val="none" w:color="000000" w:sz="4" w:space="0"/>
            </w:tcBorders>
            <w:tcW w:w="101"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5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58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4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10"/>
            <w:shd w:val="clear" w:color="ffffff" w:fill="ffffff"/>
            <w:tcBorders>
              <w:top w:val="none" w:color="000000" w:sz="4" w:space="0"/>
              <w:left w:val="none" w:color="000000" w:sz="4" w:space="0"/>
              <w:bottom w:val="none" w:color="000000" w:sz="4" w:space="0"/>
              <w:right w:val="none" w:color="000000" w:sz="4" w:space="0"/>
            </w:tcBorders>
            <w:tcW w:w="2528"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Preço Médio Total:</w:t>
            </w:r>
            <w:r>
              <w:rPr>
                <w:rFonts w:ascii="Arial" w:hAnsi="Arial" w:cs="Arial"/>
                <w:sz w:val="18"/>
                <w:szCs w:val="18"/>
              </w:rPr>
            </w:r>
          </w:p>
        </w:tc>
        <w:tc>
          <w:tcPr>
            <w:gridSpan w:val="4"/>
            <w:shd w:val="clear" w:color="ffffff" w:fill="ffffff"/>
            <w:tcBorders>
              <w:top w:val="none" w:color="000000" w:sz="4" w:space="0"/>
              <w:left w:val="none" w:color="000000" w:sz="4" w:space="0"/>
              <w:bottom w:val="none" w:color="000000" w:sz="4" w:space="0"/>
              <w:right w:val="none" w:color="000000" w:sz="4" w:space="0"/>
            </w:tcBorders>
            <w:tcW w:w="619" w:type="dxa"/>
            <w:textDirection w:val="lrTb"/>
            <w:noWrap w:val="false"/>
          </w:tcPr>
          <w:p>
            <w:pPr>
              <w:pStyle w:val="1056"/>
              <w:pBdr/>
              <w:spacing w:after="120" w:before="120"/>
              <w:ind/>
              <w:jc w:val="right"/>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33"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09"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72.187,20</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02"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2"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399"/>
        </w:trPr>
        <w:tc>
          <w:tcPr>
            <w:shd w:val="clear" w:color="ffffff" w:fill="ffffff"/>
            <w:tcBorders>
              <w:top w:val="none" w:color="000000" w:sz="4" w:space="0"/>
              <w:left w:val="none" w:color="000000" w:sz="4" w:space="0"/>
              <w:bottom w:val="none" w:color="000000" w:sz="4" w:space="0"/>
              <w:right w:val="none" w:color="000000" w:sz="4" w:space="0"/>
            </w:tcBorders>
            <w:tcW w:w="101"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5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58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4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10"/>
            <w:shd w:val="clear" w:color="ffffff" w:fill="ffffff"/>
            <w:tcBorders>
              <w:top w:val="none" w:color="000000" w:sz="4" w:space="0"/>
              <w:left w:val="none" w:color="000000" w:sz="4" w:space="0"/>
              <w:bottom w:val="none" w:color="000000" w:sz="4" w:space="0"/>
              <w:right w:val="none" w:color="000000" w:sz="4" w:space="0"/>
            </w:tcBorders>
            <w:tcW w:w="2528"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Melhor preço Total:</w:t>
            </w:r>
            <w:r>
              <w:rPr>
                <w:rFonts w:ascii="Arial" w:hAnsi="Arial" w:cs="Arial"/>
                <w:sz w:val="18"/>
                <w:szCs w:val="18"/>
              </w:rPr>
            </w:r>
          </w:p>
        </w:tc>
        <w:tc>
          <w:tcPr>
            <w:gridSpan w:val="4"/>
            <w:shd w:val="clear" w:color="ffffff" w:fill="ffffff"/>
            <w:tcBorders>
              <w:top w:val="none" w:color="000000" w:sz="4" w:space="0"/>
              <w:left w:val="none" w:color="000000" w:sz="4" w:space="0"/>
              <w:bottom w:val="none" w:color="000000" w:sz="4" w:space="0"/>
              <w:right w:val="none" w:color="000000" w:sz="4" w:space="0"/>
            </w:tcBorders>
            <w:tcW w:w="619" w:type="dxa"/>
            <w:textDirection w:val="lrTb"/>
            <w:noWrap w:val="false"/>
          </w:tcPr>
          <w:p>
            <w:pPr>
              <w:pStyle w:val="1056"/>
              <w:pBdr/>
              <w:spacing w:after="120" w:before="120"/>
              <w:ind/>
              <w:jc w:val="right"/>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33"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09"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64.632,72</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02"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2"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399"/>
        </w:trPr>
        <w:tc>
          <w:tcPr>
            <w:shd w:val="clear" w:color="ffffff" w:fill="ffffff"/>
            <w:tcBorders>
              <w:top w:val="none" w:color="000000" w:sz="4" w:space="0"/>
              <w:left w:val="none" w:color="000000" w:sz="4" w:space="0"/>
              <w:bottom w:val="none" w:color="000000" w:sz="4" w:space="0"/>
              <w:right w:val="none" w:color="000000" w:sz="4" w:space="0"/>
            </w:tcBorders>
            <w:tcW w:w="101"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5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58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4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10"/>
            <w:shd w:val="clear" w:color="ffffff" w:fill="ffffff"/>
            <w:tcBorders>
              <w:top w:val="none" w:color="000000" w:sz="4" w:space="0"/>
              <w:left w:val="none" w:color="000000" w:sz="4" w:space="0"/>
              <w:bottom w:val="none" w:color="000000" w:sz="4" w:space="0"/>
              <w:right w:val="none" w:color="000000" w:sz="4" w:space="0"/>
            </w:tcBorders>
            <w:tcW w:w="2528"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Preço Mediano Total:</w:t>
            </w:r>
            <w:r>
              <w:rPr>
                <w:rFonts w:ascii="Arial" w:hAnsi="Arial" w:cs="Arial"/>
                <w:sz w:val="18"/>
                <w:szCs w:val="18"/>
              </w:rPr>
            </w:r>
          </w:p>
        </w:tc>
        <w:tc>
          <w:tcPr>
            <w:gridSpan w:val="4"/>
            <w:shd w:val="clear" w:color="ffffff" w:fill="ffffff"/>
            <w:tcBorders>
              <w:top w:val="none" w:color="000000" w:sz="4" w:space="0"/>
              <w:left w:val="none" w:color="000000" w:sz="4" w:space="0"/>
              <w:bottom w:val="none" w:color="000000" w:sz="4" w:space="0"/>
              <w:right w:val="none" w:color="000000" w:sz="4" w:space="0"/>
            </w:tcBorders>
            <w:tcW w:w="619" w:type="dxa"/>
            <w:textDirection w:val="lrTb"/>
            <w:noWrap w:val="false"/>
          </w:tcPr>
          <w:p>
            <w:pPr>
              <w:pStyle w:val="1056"/>
              <w:pBdr/>
              <w:spacing w:after="120" w:before="120"/>
              <w:ind/>
              <w:jc w:val="right"/>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33"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09"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70.088,73</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02"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2"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399"/>
        </w:trPr>
        <w:tc>
          <w:tcPr>
            <w:shd w:val="clear" w:color="ffffff" w:fill="ffffff"/>
            <w:tcBorders>
              <w:top w:val="none" w:color="000000" w:sz="4" w:space="0"/>
              <w:left w:val="none" w:color="000000" w:sz="4" w:space="0"/>
              <w:bottom w:val="none" w:color="000000" w:sz="4" w:space="0"/>
              <w:right w:val="none" w:color="000000" w:sz="4" w:space="0"/>
            </w:tcBorders>
            <w:tcW w:w="101"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5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58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4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10"/>
            <w:shd w:val="clear" w:color="ffffff" w:fill="ffffff"/>
            <w:tcBorders>
              <w:top w:val="none" w:color="000000" w:sz="4" w:space="0"/>
              <w:left w:val="none" w:color="000000" w:sz="4" w:space="0"/>
              <w:bottom w:val="none" w:color="000000" w:sz="4" w:space="0"/>
              <w:right w:val="none" w:color="000000" w:sz="4" w:space="0"/>
            </w:tcBorders>
            <w:tcW w:w="2528"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Média Saneada Total:</w:t>
            </w:r>
            <w:r>
              <w:rPr>
                <w:rFonts w:ascii="Arial" w:hAnsi="Arial" w:cs="Arial"/>
                <w:sz w:val="18"/>
                <w:szCs w:val="18"/>
              </w:rPr>
            </w:r>
          </w:p>
        </w:tc>
        <w:tc>
          <w:tcPr>
            <w:gridSpan w:val="4"/>
            <w:shd w:val="clear" w:color="ffffff" w:fill="ffffff"/>
            <w:tcBorders>
              <w:top w:val="none" w:color="000000" w:sz="4" w:space="0"/>
              <w:left w:val="none" w:color="000000" w:sz="4" w:space="0"/>
              <w:bottom w:val="none" w:color="000000" w:sz="4" w:space="0"/>
              <w:right w:val="none" w:color="000000" w:sz="4" w:space="0"/>
            </w:tcBorders>
            <w:tcW w:w="619" w:type="dxa"/>
            <w:textDirection w:val="lrTb"/>
            <w:noWrap w:val="false"/>
          </w:tcPr>
          <w:p>
            <w:pPr>
              <w:pStyle w:val="1056"/>
              <w:pBdr/>
              <w:spacing w:after="120" w:before="120"/>
              <w:ind/>
              <w:jc w:val="right"/>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33"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09"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71.068,01</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02"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2"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r>
        <w:trPr>
          <w:trHeight w:val="399"/>
        </w:trPr>
        <w:tc>
          <w:tcPr>
            <w:shd w:val="clear" w:color="ffffff" w:fill="ffffff"/>
            <w:tcBorders>
              <w:top w:val="none" w:color="000000" w:sz="4" w:space="0"/>
              <w:left w:val="none" w:color="000000" w:sz="4" w:space="0"/>
              <w:bottom w:val="none" w:color="000000" w:sz="4" w:space="0"/>
              <w:right w:val="none" w:color="000000" w:sz="4" w:space="0"/>
            </w:tcBorders>
            <w:tcW w:w="101"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25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58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4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gridSpan w:val="10"/>
            <w:shd w:val="clear" w:color="ffffff" w:fill="ffffff"/>
            <w:tcBorders>
              <w:top w:val="none" w:color="000000" w:sz="4" w:space="0"/>
              <w:left w:val="none" w:color="000000" w:sz="4" w:space="0"/>
              <w:bottom w:val="none" w:color="000000" w:sz="4" w:space="0"/>
              <w:right w:val="none" w:color="000000" w:sz="4" w:space="0"/>
            </w:tcBorders>
            <w:tcW w:w="2528"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Coeficiente de Variação Total:</w:t>
            </w:r>
            <w:r>
              <w:rPr>
                <w:rFonts w:ascii="Arial" w:hAnsi="Arial" w:cs="Arial"/>
                <w:sz w:val="18"/>
                <w:szCs w:val="18"/>
              </w:rPr>
            </w:r>
          </w:p>
        </w:tc>
        <w:tc>
          <w:tcPr>
            <w:gridSpan w:val="4"/>
            <w:shd w:val="clear" w:color="ffffff" w:fill="ffffff"/>
            <w:tcBorders>
              <w:top w:val="none" w:color="000000" w:sz="4" w:space="0"/>
              <w:left w:val="none" w:color="000000" w:sz="4" w:space="0"/>
              <w:bottom w:val="none" w:color="000000" w:sz="4" w:space="0"/>
              <w:right w:val="none" w:color="000000" w:sz="4" w:space="0"/>
            </w:tcBorders>
            <w:tcW w:w="619" w:type="dxa"/>
            <w:textDirection w:val="lrTb"/>
            <w:noWrap w:val="false"/>
          </w:tcPr>
          <w:p>
            <w:pPr>
              <w:pStyle w:val="1056"/>
              <w:pBdr/>
              <w:spacing w:after="120" w:before="120"/>
              <w:ind/>
              <w:jc w:val="right"/>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33"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4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6"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709" w:type="dxa"/>
            <w:textDirection w:val="lrTb"/>
            <w:noWrap w:val="false"/>
          </w:tcPr>
          <w:p>
            <w:pPr>
              <w:pStyle w:val="1056"/>
              <w:pBdr/>
              <w:spacing w:after="120" w:before="120"/>
              <w:ind/>
              <w:jc w:val="right"/>
              <w:rPr>
                <w:rFonts w:ascii="Arial" w:hAnsi="Arial" w:cs="Arial"/>
                <w:sz w:val="18"/>
                <w:szCs w:val="18"/>
              </w:rPr>
            </w:pPr>
            <w:r>
              <w:rPr>
                <w:rFonts w:eastAsia="Arial" w:cs="Arial"/>
                <w:b/>
                <w:color w:val="000000"/>
                <w:sz w:val="18"/>
                <w:szCs w:val="18"/>
              </w:rPr>
              <w:t xml:space="preserve">10.28%</w:t>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02"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37"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274"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635" w:type="dxa"/>
            <w:textDirection w:val="lrTb"/>
            <w:noWrap w:val="false"/>
          </w:tcPr>
          <w:p>
            <w:pPr>
              <w:pStyle w:val="1056"/>
              <w:pBdr/>
              <w:spacing w:after="120" w:before="120"/>
              <w:ind/>
              <w:rPr>
                <w:rFonts w:ascii="Arial" w:hAnsi="Arial" w:cs="Arial"/>
                <w:sz w:val="18"/>
                <w:szCs w:val="18"/>
              </w:rPr>
            </w:pPr>
            <w:r>
              <w:rPr>
                <w:rFonts w:cs="Arial"/>
                <w:sz w:val="18"/>
                <w:szCs w:val="18"/>
              </w:rPr>
            </w:r>
            <w:r>
              <w:rPr>
                <w:rFonts w:ascii="Arial" w:hAnsi="Arial" w:cs="Arial"/>
                <w:sz w:val="18"/>
                <w:szCs w:val="18"/>
              </w:rPr>
            </w:r>
          </w:p>
        </w:tc>
        <w:tc>
          <w:tcPr>
            <w:shd w:val="clear" w:color="ffffff" w:fill="ffffff"/>
            <w:tcBorders>
              <w:top w:val="none" w:color="000000" w:sz="4" w:space="0"/>
              <w:left w:val="none" w:color="000000" w:sz="4" w:space="0"/>
              <w:bottom w:val="none" w:color="000000" w:sz="4" w:space="0"/>
              <w:right w:val="none" w:color="000000" w:sz="4" w:space="0"/>
            </w:tcBorders>
            <w:tcW w:w="102" w:type="dxa"/>
            <w:textDirection w:val="lrTb"/>
            <w:noWrap w:val="false"/>
          </w:tcPr>
          <w:p>
            <w:pPr>
              <w:pStyle w:val="1056"/>
              <w:pBdr/>
              <w:spacing w:after="120" w:before="120"/>
              <w:ind/>
              <w:rPr>
                <w:sz w:val="24"/>
                <w:szCs w:val="24"/>
              </w:rPr>
            </w:pPr>
            <w:r>
              <w:rPr>
                <w:sz w:val="24"/>
                <w:szCs w:val="24"/>
              </w:rPr>
            </w:r>
            <w:r>
              <w:rPr>
                <w:sz w:val="24"/>
                <w:szCs w:val="24"/>
              </w:rPr>
            </w:r>
          </w:p>
        </w:tc>
        <w:tc>
          <w:tcPr>
            <w:shd w:val="clear" w:color="ffffff" w:fill="ffffff"/>
            <w:tcBorders>
              <w:top w:val="none" w:color="000000" w:sz="4" w:space="0"/>
              <w:left w:val="none" w:color="000000" w:sz="4" w:space="0"/>
              <w:bottom w:val="none" w:color="000000" w:sz="4" w:space="0"/>
              <w:right w:val="none" w:color="000000" w:sz="4" w:space="0"/>
            </w:tcBorders>
            <w:tcW w:w="64" w:type="dxa"/>
            <w:textDirection w:val="lrTb"/>
            <w:noWrap w:val="false"/>
          </w:tcPr>
          <w:p>
            <w:pPr>
              <w:pStyle w:val="1056"/>
              <w:pBdr/>
              <w:spacing w:after="120" w:before="120"/>
              <w:ind/>
              <w:rPr>
                <w:sz w:val="24"/>
                <w:szCs w:val="24"/>
              </w:rPr>
            </w:pPr>
            <w:r>
              <w:rPr>
                <w:sz w:val="24"/>
                <w:szCs w:val="24"/>
              </w:rPr>
            </w:r>
            <w:r>
              <w:rPr>
                <w:sz w:val="24"/>
                <w:szCs w:val="24"/>
              </w:rPr>
            </w:r>
          </w:p>
        </w:tc>
      </w:tr>
    </w:tbl>
    <w:p>
      <w:pPr>
        <w:pStyle w:val="1056"/>
        <w:pBdr/>
        <w:tabs>
          <w:tab w:val="left" w:leader="none" w:pos="567"/>
          <w:tab w:val="clear" w:leader="none" w:pos="720"/>
          <w:tab w:val="left" w:leader="none" w:pos="5040"/>
        </w:tabs>
        <w:spacing w:line="360" w:lineRule="auto"/>
        <w:ind/>
        <w:jc w:val="both"/>
        <w:rPr>
          <w:rFonts w:ascii="Arial" w:hAnsi="Arial" w:cs="Arial"/>
          <w:b/>
          <w:sz w:val="24"/>
          <w:szCs w:val="24"/>
        </w:rPr>
      </w:pPr>
      <w:r>
        <w:rPr>
          <w:rFonts w:cs="Arial"/>
          <w:b/>
          <w:sz w:val="24"/>
          <w:szCs w:val="24"/>
        </w:rPr>
      </w:r>
      <w:r>
        <w:rPr>
          <w:rFonts w:ascii="Arial" w:hAnsi="Arial" w:cs="Arial"/>
          <w:b/>
          <w:sz w:val="24"/>
          <w:szCs w:val="24"/>
        </w:rPr>
      </w:r>
    </w:p>
    <w:p>
      <w:pPr>
        <w:pStyle w:val="1210"/>
        <w:numPr>
          <w:ilvl w:val="1"/>
          <w:numId w:val="20"/>
        </w:numPr>
        <w:pBdr/>
        <w:spacing w:line="360" w:lineRule="auto"/>
        <w:ind/>
        <w:jc w:val="both"/>
        <w:rPr>
          <w:rFonts w:ascii="Arial" w:hAnsi="Arial" w:cs="Arial"/>
          <w:color w:val="000000"/>
          <w:sz w:val="24"/>
          <w:szCs w:val="24"/>
        </w:rPr>
      </w:pPr>
      <w:r>
        <w:rPr>
          <w:rFonts w:cs="Arial"/>
          <w:b/>
          <w:color w:val="000000"/>
          <w:sz w:val="24"/>
          <w:szCs w:val="24"/>
        </w:rPr>
        <w:t xml:space="preserve">JUSTIFICATIVA: </w:t>
      </w:r>
      <w:r>
        <w:rPr>
          <w:rFonts w:ascii="Arial" w:hAnsi="Arial" w:cs="Arial"/>
          <w:color w:val="000000"/>
          <w:sz w:val="24"/>
          <w:szCs w:val="24"/>
        </w:rPr>
      </w:r>
    </w:p>
    <w:p>
      <w:pPr>
        <w:pStyle w:val="1056"/>
        <w:pBdr/>
        <w:tabs>
          <w:tab w:val="left" w:leader="none" w:pos="129"/>
          <w:tab w:val="clear" w:leader="none" w:pos="720"/>
          <w:tab w:val="left" w:leader="none" w:pos="5040"/>
        </w:tabs>
        <w:spacing w:line="360" w:lineRule="auto"/>
        <w:ind w:right="695" w:firstLine="283" w:left="-283"/>
        <w:jc w:val="both"/>
        <w:rPr>
          <w:rFonts w:ascii="Arial" w:hAnsi="Arial" w:cs="Arial"/>
          <w:sz w:val="24"/>
          <w:szCs w:val="24"/>
        </w:rPr>
      </w:pPr>
      <w:r>
        <w:rPr>
          <w:rFonts w:cs="Arial"/>
          <w:color w:val="000000"/>
          <w:sz w:val="24"/>
          <w:szCs w:val="24"/>
        </w:rPr>
        <w:tab/>
      </w:r>
      <w:r>
        <w:rPr>
          <w:rFonts w:cs="Arial"/>
          <w:sz w:val="24"/>
          <w:szCs w:val="24"/>
        </w:rPr>
        <w:t xml:space="preserve">A contratação de empresa especia</w:t>
      </w:r>
      <w:r>
        <w:rPr>
          <w:rFonts w:cs="Arial"/>
          <w:sz w:val="24"/>
          <w:szCs w:val="24"/>
        </w:rPr>
        <w:t xml:space="preserve">lizada para a prestação de serviços de dedetização — incluindo desratização, descupinização, desinsetização, controle de escorpiões e expurgo — destinada a atender às demandas das Secretarias, Fundos e demais setores da Prefeitura Municipal de Rio das Flor</w:t>
      </w:r>
      <w:r>
        <w:rPr>
          <w:rFonts w:cs="Arial"/>
          <w:sz w:val="24"/>
          <w:szCs w:val="24"/>
        </w:rPr>
        <w:t xml:space="preserve">es, é medida essencial para assegurar a qualidade, segurança e eficiência na manutenção sanitária dos prédios públicos municipais. Tais serviços são fundamentais para o bom funcionamento das atividades administrativas e para a preservação da saúde pública.</w:t>
      </w:r>
      <w:r>
        <w:rPr>
          <w:rFonts w:ascii="Arial" w:hAnsi="Arial" w:cs="Arial"/>
          <w:sz w:val="24"/>
          <w:szCs w:val="24"/>
        </w:rPr>
      </w:r>
    </w:p>
    <w:p>
      <w:pPr>
        <w:pStyle w:val="1056"/>
        <w:pBdr/>
        <w:tabs>
          <w:tab w:val="left" w:leader="none" w:pos="129"/>
          <w:tab w:val="clear" w:leader="none" w:pos="720"/>
          <w:tab w:val="left" w:leader="none" w:pos="5040"/>
        </w:tabs>
        <w:spacing w:line="360" w:lineRule="auto"/>
        <w:ind w:right="695" w:firstLine="283" w:left="-283"/>
        <w:jc w:val="both"/>
        <w:rPr>
          <w:rFonts w:ascii="Arial" w:hAnsi="Arial" w:cs="Arial"/>
          <w:sz w:val="24"/>
          <w:szCs w:val="24"/>
        </w:rPr>
      </w:pPr>
      <w:r>
        <w:rPr>
          <w:rFonts w:cs="Arial"/>
          <w:sz w:val="24"/>
          <w:szCs w:val="24"/>
        </w:rPr>
        <w:t xml:space="preserve">A presente contratação se faz necessária para atender ao disposto na Lei Estadual nº 7.80</w:t>
      </w:r>
      <w:r>
        <w:rPr>
          <w:rFonts w:cs="Arial"/>
          <w:sz w:val="24"/>
          <w:szCs w:val="24"/>
        </w:rPr>
        <w:t xml:space="preserve">6/2017, especialmente em seu Art. 2º, § 2º, que determina que “o serviço de controle de vetores e pragas urbanas somente poderá ser efetuado por empresa especializada e portadora da licença do INEA”, e em seu Art. 6º, inciso II, que define o controle de ve</w:t>
      </w:r>
      <w:r>
        <w:rPr>
          <w:rFonts w:cs="Arial"/>
          <w:sz w:val="24"/>
          <w:szCs w:val="24"/>
        </w:rPr>
        <w:t xml:space="preserve">tores e pragas urbanas como o “conjunto de ações preventivas e corretivas de monitoramento ou aplicação ou ambos, com periodicidade minimamente mensal, visando a impedir de modo integrado que vetores e pragas urbanas se instalem ou reproduzam no ambiente”.</w:t>
      </w:r>
      <w:r>
        <w:rPr>
          <w:rFonts w:ascii="Arial" w:hAnsi="Arial" w:cs="Arial"/>
          <w:sz w:val="24"/>
          <w:szCs w:val="24"/>
        </w:rPr>
      </w:r>
    </w:p>
    <w:p>
      <w:pPr>
        <w:pStyle w:val="1056"/>
        <w:pBdr/>
        <w:tabs>
          <w:tab w:val="left" w:leader="none" w:pos="129"/>
          <w:tab w:val="clear" w:leader="none" w:pos="720"/>
          <w:tab w:val="left" w:leader="none" w:pos="5040"/>
        </w:tabs>
        <w:spacing w:line="360" w:lineRule="auto"/>
        <w:ind w:right="695" w:firstLine="283" w:left="-283"/>
        <w:jc w:val="both"/>
        <w:rPr>
          <w:rFonts w:ascii="Arial" w:hAnsi="Arial" w:cs="Arial"/>
          <w:sz w:val="24"/>
          <w:szCs w:val="24"/>
        </w:rPr>
      </w:pPr>
      <w:r>
        <w:rPr>
          <w:rFonts w:cs="Arial"/>
          <w:sz w:val="24"/>
          <w:szCs w:val="24"/>
        </w:rPr>
        <w:t xml:space="preserve">Além do cumprimento legal, a contratação é justificada pela realidade enfrentada no município, especialmente nas unidades da Secretaria Municipal de Educação, situadas em áre</w:t>
      </w:r>
      <w:r>
        <w:rPr>
          <w:rFonts w:cs="Arial"/>
          <w:sz w:val="24"/>
          <w:szCs w:val="24"/>
        </w:rPr>
        <w:t xml:space="preserve">a da Baixada Fluminense, onde há alta incidência de inundações e vulnerabilidade a infestações por diversas pragas urbanas. A ausência desse controle representa risco direto à saúde de alunos, professores, servidores e demais usuários dos prédios públicos.</w:t>
      </w:r>
      <w:r>
        <w:rPr>
          <w:rFonts w:ascii="Arial" w:hAnsi="Arial" w:cs="Arial"/>
          <w:sz w:val="24"/>
          <w:szCs w:val="24"/>
        </w:rPr>
      </w:r>
    </w:p>
    <w:p>
      <w:pPr>
        <w:pStyle w:val="1056"/>
        <w:pBdr/>
        <w:tabs>
          <w:tab w:val="left" w:leader="none" w:pos="129"/>
          <w:tab w:val="clear" w:leader="none" w:pos="720"/>
          <w:tab w:val="left" w:leader="none" w:pos="5040"/>
        </w:tabs>
        <w:spacing w:line="360" w:lineRule="auto"/>
        <w:ind w:right="695" w:firstLine="283" w:left="-283"/>
        <w:jc w:val="both"/>
        <w:rPr>
          <w:rFonts w:ascii="Arial" w:hAnsi="Arial" w:cs="Arial"/>
          <w:sz w:val="24"/>
          <w:szCs w:val="24"/>
        </w:rPr>
      </w:pPr>
      <w:r>
        <w:rPr>
          <w:rFonts w:cs="Arial"/>
          <w:sz w:val="24"/>
          <w:szCs w:val="24"/>
        </w:rPr>
        <w:t xml:space="preserve">A execução contínua e adequada desses serviços impacta diretamente na qualidade do ambiente de trabalho e no bem-estar coletivo, </w:t>
      </w:r>
      <w:r>
        <w:rPr>
          <w:rFonts w:cs="Arial"/>
          <w:sz w:val="24"/>
          <w:szCs w:val="24"/>
        </w:rPr>
        <w:t xml:space="preserve">prevenindo a proliferação de doenças e a contaminação dos espaços públicos. Trata-se, portanto, de um item essencial de higiene, saúde pública e segurança sanitária, com implicações diretas no desempenho das atividades públicas e na proteção do patrimônio.</w:t>
      </w:r>
      <w:r>
        <w:rPr>
          <w:rFonts w:ascii="Arial" w:hAnsi="Arial" w:cs="Arial"/>
          <w:sz w:val="24"/>
          <w:szCs w:val="24"/>
        </w:rPr>
      </w:r>
    </w:p>
    <w:p>
      <w:pPr>
        <w:pStyle w:val="1056"/>
        <w:pBdr/>
        <w:tabs>
          <w:tab w:val="left" w:leader="none" w:pos="129"/>
          <w:tab w:val="clear" w:leader="none" w:pos="720"/>
          <w:tab w:val="left" w:leader="none" w:pos="5040"/>
        </w:tabs>
        <w:spacing w:line="360" w:lineRule="auto"/>
        <w:ind w:right="695" w:firstLine="283" w:left="-283"/>
        <w:jc w:val="both"/>
        <w:rPr>
          <w:rFonts w:ascii="Arial" w:hAnsi="Arial" w:cs="Arial"/>
          <w:sz w:val="24"/>
          <w:szCs w:val="24"/>
        </w:rPr>
      </w:pPr>
      <w:r>
        <w:rPr>
          <w:rFonts w:cs="Arial"/>
          <w:sz w:val="24"/>
          <w:szCs w:val="24"/>
        </w:rPr>
        <w:t xml:space="preserve">A centralização dessa contratação, por meio do sistema de Registro de Preços, possibilita melhor planejamento, uniformidade na execução dos serviços, maior eficiência na alocação dos recursos públicos, </w:t>
      </w:r>
      <w:r>
        <w:rPr>
          <w:rFonts w:cs="Arial"/>
          <w:sz w:val="24"/>
          <w:szCs w:val="24"/>
        </w:rPr>
        <w:t xml:space="preserve">além de permitir a obtenção de preços mais competitivos. O processo será conduzido via Pregão Eletrônico, com validade de 12 (doze) meses, garantindo agilidade, economicidade e flexibilidade conforme a demanda dos órgãos da Administração Pública Municipal.</w:t>
      </w:r>
      <w:r>
        <w:rPr>
          <w:rFonts w:ascii="Arial" w:hAnsi="Arial" w:cs="Arial"/>
          <w:sz w:val="24"/>
          <w:szCs w:val="24"/>
        </w:rPr>
      </w:r>
    </w:p>
    <w:p>
      <w:pPr>
        <w:pStyle w:val="1056"/>
        <w:pBdr/>
        <w:tabs>
          <w:tab w:val="left" w:leader="none" w:pos="129"/>
          <w:tab w:val="clear" w:leader="none" w:pos="720"/>
          <w:tab w:val="left" w:leader="none" w:pos="5040"/>
        </w:tabs>
        <w:spacing w:line="360" w:lineRule="auto"/>
        <w:ind w:right="695" w:firstLine="283" w:left="-283"/>
        <w:jc w:val="both"/>
        <w:rPr>
          <w:rFonts w:ascii="Arial" w:hAnsi="Arial" w:cs="Arial"/>
          <w:sz w:val="24"/>
          <w:szCs w:val="24"/>
        </w:rPr>
      </w:pPr>
      <w:r>
        <w:rPr>
          <w:rFonts w:cs="Arial"/>
          <w:sz w:val="24"/>
          <w:szCs w:val="24"/>
        </w:rPr>
        <w:t xml:space="preserve">Por fim, a presente medida está alinhada aos princípios da legalidade, eficiência, t</w:t>
      </w:r>
      <w:r>
        <w:rPr>
          <w:rFonts w:cs="Arial"/>
          <w:sz w:val="24"/>
          <w:szCs w:val="24"/>
        </w:rPr>
        <w:t xml:space="preserve">ransparência, responsabilidade fiscal e boa governança, conforme previstos na Lei nº 14.133/2021 (Nova Lei de Licitações e Contratos), reforçando o compromisso da Administração Municipal com a gestão pública de qualidade e a prevenção de riscos sanitários.</w:t>
      </w:r>
      <w:r>
        <w:rPr>
          <w:rFonts w:ascii="Arial" w:hAnsi="Arial" w:cs="Arial"/>
          <w:sz w:val="24"/>
          <w:szCs w:val="24"/>
        </w:rPr>
      </w:r>
    </w:p>
    <w:p>
      <w:pPr>
        <w:pStyle w:val="1210"/>
        <w:pBdr/>
        <w:tabs>
          <w:tab w:val="left" w:leader="none" w:pos="426"/>
          <w:tab w:val="clear" w:leader="none" w:pos="720"/>
        </w:tabs>
        <w:spacing w:line="360" w:lineRule="auto"/>
        <w:ind w:left="0"/>
        <w:jc w:val="both"/>
        <w:rPr>
          <w:color w:val="000000"/>
          <w:sz w:val="24"/>
          <w:szCs w:val="24"/>
        </w:rPr>
      </w:pPr>
      <w:r>
        <w:rPr>
          <w:rFonts w:cs="Arial"/>
          <w:b/>
          <w:color w:val="000000"/>
          <w:sz w:val="24"/>
          <w:szCs w:val="24"/>
        </w:rPr>
        <w:t xml:space="preserve">1.4. PERÍODO ESTIMADO (SE ENQUADRA MELHOR NO TÓPICO 1 (OBJETO)</w:t>
      </w:r>
      <w:r>
        <w:rPr>
          <w:color w:val="000000"/>
          <w:sz w:val="24"/>
          <w:szCs w:val="24"/>
        </w:rPr>
      </w:r>
    </w:p>
    <w:p>
      <w:pPr>
        <w:pStyle w:val="1210"/>
        <w:pBdr/>
        <w:tabs>
          <w:tab w:val="left" w:leader="none" w:pos="426"/>
          <w:tab w:val="clear" w:leader="none" w:pos="720"/>
        </w:tabs>
        <w:spacing w:line="276" w:lineRule="auto"/>
        <w:ind w:left="0"/>
        <w:jc w:val="both"/>
        <w:rPr>
          <w:color w:val="000000"/>
          <w:sz w:val="24"/>
          <w:szCs w:val="24"/>
        </w:rPr>
      </w:pPr>
      <w:r>
        <w:rPr>
          <w:rFonts w:cs="Arial"/>
          <w:b/>
          <w:color w:val="000000"/>
          <w:sz w:val="24"/>
          <w:szCs w:val="24"/>
        </w:rPr>
        <w:t xml:space="preserve">1.4.1. </w:t>
      </w:r>
      <w:r>
        <w:rPr>
          <w:rFonts w:cs="Arial"/>
          <w:color w:val="000000"/>
          <w:sz w:val="24"/>
          <w:szCs w:val="24"/>
        </w:rPr>
        <w:t xml:space="preserve">A estimativa para a execução do objeto é de prazo de 12 (doze) meses, por meio de Registro de Preços.</w:t>
      </w:r>
      <w:r>
        <w:rPr>
          <w:color w:val="000000"/>
          <w:sz w:val="24"/>
          <w:szCs w:val="24"/>
        </w:rPr>
      </w:r>
    </w:p>
    <w:p>
      <w:pPr>
        <w:pStyle w:val="1210"/>
        <w:pBdr/>
        <w:spacing w:line="360" w:lineRule="auto"/>
        <w:ind/>
        <w:jc w:val="both"/>
        <w:rPr>
          <w:rFonts w:ascii="Arial" w:hAnsi="Arial" w:cs="Arial"/>
          <w:color w:val="000000"/>
          <w:sz w:val="24"/>
          <w:szCs w:val="24"/>
        </w:rPr>
      </w:pPr>
      <w:r>
        <w:rPr>
          <w:rFonts w:cs="Arial"/>
          <w:color w:val="000000"/>
          <w:sz w:val="24"/>
          <w:szCs w:val="24"/>
        </w:rPr>
      </w:r>
      <w:r>
        <w:rPr>
          <w:rFonts w:ascii="Arial" w:hAnsi="Arial" w:cs="Arial"/>
          <w:color w:val="000000"/>
          <w:sz w:val="24"/>
          <w:szCs w:val="24"/>
        </w:rPr>
      </w:r>
    </w:p>
    <w:p>
      <w:pPr>
        <w:pStyle w:val="1210"/>
        <w:numPr>
          <w:ilvl w:val="0"/>
          <w:numId w:val="20"/>
        </w:numPr>
        <w:pBdr/>
        <w:spacing w:line="360" w:lineRule="auto"/>
        <w:ind/>
        <w:jc w:val="both"/>
        <w:rPr>
          <w:color w:val="000000"/>
          <w:sz w:val="24"/>
          <w:szCs w:val="24"/>
        </w:rPr>
      </w:pPr>
      <w:r>
        <w:rPr>
          <w:rFonts w:cs="Arial"/>
          <w:b/>
          <w:color w:val="000000"/>
          <w:sz w:val="24"/>
          <w:szCs w:val="24"/>
        </w:rPr>
        <w:t xml:space="preserve">FUNDAMENTAÇÃO LEGAL (</w:t>
      </w:r>
      <w:r>
        <w:rPr>
          <w:rFonts w:cs="Arial"/>
          <w:color w:val="000000"/>
          <w:sz w:val="24"/>
          <w:szCs w:val="24"/>
          <w:lang w:val="en-US"/>
        </w:rPr>
        <w:t xml:space="preserve">Art. 6º, XXIII, “b” da Lei 14.133/21)</w:t>
      </w:r>
      <w:r>
        <w:rPr>
          <w:color w:val="000000"/>
          <w:sz w:val="24"/>
          <w:szCs w:val="24"/>
        </w:rPr>
      </w:r>
    </w:p>
    <w:p>
      <w:pPr>
        <w:pStyle w:val="1210"/>
        <w:numPr>
          <w:ilvl w:val="1"/>
          <w:numId w:val="20"/>
        </w:numPr>
        <w:pBdr/>
        <w:spacing w:after="57" w:before="57" w:line="276" w:lineRule="auto"/>
        <w:ind/>
        <w:contextualSpacing w:val="true"/>
        <w:jc w:val="both"/>
        <w:rPr>
          <w:sz w:val="24"/>
          <w:szCs w:val="24"/>
        </w:rPr>
      </w:pPr>
      <w:r>
        <w:rPr>
          <w:rFonts w:cs="Arial"/>
          <w:color w:val="000000"/>
          <w:sz w:val="24"/>
          <w:szCs w:val="24"/>
        </w:rPr>
        <w:t xml:space="preserve">A execução do objeto desta contratação encontra amparo na norma legal, consoante ao disposto na Lei Federal nº 14.133/2021, art. 28, inciso I</w:t>
      </w:r>
      <w:r>
        <w:rPr>
          <w:rFonts w:cs="Arial"/>
          <w:i/>
          <w:iCs/>
          <w:color w:val="000000"/>
          <w:sz w:val="24"/>
          <w:szCs w:val="24"/>
        </w:rPr>
        <w:t xml:space="preserve">.</w:t>
      </w:r>
      <w:r>
        <w:rPr>
          <w:sz w:val="24"/>
          <w:szCs w:val="24"/>
        </w:rPr>
      </w:r>
    </w:p>
    <w:p>
      <w:pPr>
        <w:pStyle w:val="1210"/>
        <w:pBdr/>
        <w:spacing w:line="360" w:lineRule="auto"/>
        <w:ind/>
        <w:jc w:val="both"/>
        <w:rPr>
          <w:rFonts w:ascii="Arial" w:hAnsi="Arial" w:cs="Arial"/>
          <w:color w:val="000000"/>
          <w:sz w:val="24"/>
          <w:szCs w:val="24"/>
        </w:rPr>
      </w:pPr>
      <w:r>
        <w:rPr>
          <w:rFonts w:cs="Arial"/>
          <w:color w:val="000000"/>
          <w:sz w:val="24"/>
          <w:szCs w:val="24"/>
        </w:rPr>
      </w:r>
      <w:r>
        <w:rPr>
          <w:rFonts w:ascii="Arial" w:hAnsi="Arial" w:cs="Arial"/>
          <w:color w:val="000000"/>
          <w:sz w:val="24"/>
          <w:szCs w:val="24"/>
        </w:rPr>
      </w:r>
    </w:p>
    <w:p>
      <w:pPr>
        <w:pStyle w:val="1210"/>
        <w:numPr>
          <w:ilvl w:val="0"/>
          <w:numId w:val="20"/>
        </w:numPr>
        <w:pBdr/>
        <w:spacing w:line="360" w:lineRule="auto"/>
        <w:ind/>
        <w:jc w:val="both"/>
        <w:rPr>
          <w:rFonts w:ascii="Arial" w:hAnsi="Arial" w:cs="Arial"/>
          <w:color w:val="000000"/>
          <w:sz w:val="24"/>
          <w:szCs w:val="24"/>
        </w:rPr>
      </w:pPr>
      <w:r>
        <w:rPr>
          <w:rFonts w:cs="Arial"/>
          <w:b/>
          <w:sz w:val="24"/>
          <w:szCs w:val="24"/>
        </w:rPr>
        <w:t xml:space="preserve">DESCRIÇÃO DA SOLUÇÃO (</w:t>
      </w:r>
      <w:r>
        <w:rPr>
          <w:rFonts w:cs="Arial"/>
          <w:color w:val="00b050"/>
          <w:sz w:val="24"/>
          <w:szCs w:val="24"/>
          <w:lang w:val="en-US"/>
        </w:rPr>
        <w:t xml:space="preserve">Art. 6º, XXIII, “c” da Lei 14.133/21) – </w:t>
      </w:r>
      <w:r>
        <w:rPr>
          <w:rFonts w:cs="Arial"/>
          <w:b/>
          <w:color w:val="00b050"/>
          <w:sz w:val="24"/>
          <w:szCs w:val="24"/>
          <w:lang w:val="en-US"/>
        </w:rPr>
        <w:t xml:space="preserve">TÓPICO 03 ETP</w:t>
      </w:r>
      <w:r>
        <w:rPr>
          <w:rFonts w:ascii="Arial" w:hAnsi="Arial" w:cs="Arial"/>
          <w:color w:val="000000"/>
          <w:sz w:val="24"/>
          <w:szCs w:val="24"/>
        </w:rPr>
      </w:r>
    </w:p>
    <w:p>
      <w:pPr>
        <w:pStyle w:val="1056"/>
        <w:pBdr/>
        <w:tabs>
          <w:tab w:val="left" w:leader="none" w:pos="704"/>
          <w:tab w:val="clear" w:leader="none" w:pos="720"/>
        </w:tabs>
        <w:spacing w:line="276" w:lineRule="auto"/>
        <w:ind w:right="584" w:left="283"/>
        <w:jc w:val="both"/>
        <w:rPr>
          <w:rFonts w:ascii="Arial" w:hAnsi="Arial" w:eastAsia="Arial" w:cs="Arial"/>
          <w:sz w:val="24"/>
          <w:szCs w:val="24"/>
        </w:rPr>
      </w:pPr>
      <w:r>
        <w:rPr>
          <w:rFonts w:eastAsia="Arial" w:cs="Arial"/>
          <w:b/>
          <w:bCs/>
          <w:sz w:val="24"/>
          <w:szCs w:val="24"/>
        </w:rPr>
        <w:t xml:space="preserve">3.1</w:t>
      </w:r>
      <w:r>
        <w:rPr>
          <w:rFonts w:eastAsia="Arial" w:cs="Arial"/>
          <w:sz w:val="24"/>
          <w:szCs w:val="24"/>
        </w:rPr>
        <w:t xml:space="preserve">. Visando manter os níveis dentro dos padrões adequados, verifica-se a necessidade de estabelecer, no mínimo, as seguintes exigências:</w:t>
      </w:r>
      <w:r>
        <w:rPr>
          <w:rFonts w:ascii="Arial" w:hAnsi="Arial" w:eastAsia="Arial" w:cs="Arial"/>
          <w:sz w:val="24"/>
          <w:szCs w:val="24"/>
        </w:rPr>
      </w:r>
    </w:p>
    <w:p>
      <w:pPr>
        <w:pStyle w:val="1056"/>
        <w:pBdr/>
        <w:tabs>
          <w:tab w:val="left" w:leader="none" w:pos="704"/>
          <w:tab w:val="clear" w:leader="none" w:pos="720"/>
          <w:tab w:val="left" w:leader="none" w:pos="851"/>
        </w:tabs>
        <w:spacing w:line="276" w:lineRule="auto"/>
        <w:ind w:left="850"/>
        <w:jc w:val="both"/>
        <w:rPr>
          <w:rFonts w:ascii="Arial" w:hAnsi="Arial" w:eastAsia="Arial" w:cs="Arial"/>
          <w:b/>
          <w:sz w:val="24"/>
          <w:szCs w:val="24"/>
        </w:rPr>
      </w:pPr>
      <w:r>
        <w:rPr>
          <w:rFonts w:eastAsia="Arial" w:cs="Arial"/>
          <w:b/>
          <w:sz w:val="24"/>
          <w:szCs w:val="24"/>
        </w:rPr>
        <w:t xml:space="preserve">3.1.1. Requisitos de Negócio da Solução</w:t>
      </w:r>
      <w:r>
        <w:rPr>
          <w:rFonts w:ascii="Arial" w:hAnsi="Arial" w:eastAsia="Arial" w:cs="Arial"/>
          <w:b/>
          <w:sz w:val="24"/>
          <w:szCs w:val="24"/>
        </w:rPr>
      </w:r>
    </w:p>
    <w:p>
      <w:pPr>
        <w:pStyle w:val="1165"/>
        <w:pBdr/>
        <w:tabs>
          <w:tab w:val="clear" w:leader="none" w:pos="720"/>
          <w:tab w:val="left" w:leader="none" w:pos="851"/>
          <w:tab w:val="left" w:leader="none" w:pos="1131"/>
        </w:tabs>
        <w:spacing w:after="120" w:before="1" w:line="276" w:lineRule="auto"/>
        <w:ind w:right="583"/>
        <w:jc w:val="both"/>
        <w:rPr>
          <w:sz w:val="24"/>
          <w:szCs w:val="24"/>
        </w:rPr>
      </w:pPr>
      <w:r>
        <w:rPr>
          <w:rFonts w:eastAsia="Arial" w:cs="Arial"/>
          <w:b/>
          <w:bCs/>
          <w:sz w:val="24"/>
          <w:szCs w:val="24"/>
        </w:rPr>
        <w:t xml:space="preserve">3.1.1.1.</w:t>
      </w:r>
      <w:r>
        <w:rPr>
          <w:rFonts w:eastAsia="Arial" w:cs="Arial"/>
          <w:sz w:val="24"/>
          <w:szCs w:val="24"/>
        </w:rPr>
        <w:t xml:space="preserve"> A solução a ser adotada deve atender às necessidades no que diz respeito à futura e eventual contratação de empresa especializada </w:t>
      </w:r>
      <w:r>
        <w:rPr>
          <w:rFonts w:eastAsia="Arial" w:cs="Arial"/>
          <w:sz w:val="24"/>
          <w:szCs w:val="24"/>
        </w:rPr>
        <w:t xml:space="preserve">na prestação de serviços de dedetização, abrangendo desratização, descupinização, desinsetização, controle de escorpiões e expurgo, com o objetivo de garantir a adequada manutenção dos prédios públicos pertencentes à Prefeitura Municipal de Rio das Flores.</w:t>
      </w:r>
      <w:r>
        <w:rPr>
          <w:sz w:val="24"/>
          <w:szCs w:val="24"/>
        </w:rPr>
      </w:r>
    </w:p>
    <w:p>
      <w:pPr>
        <w:pStyle w:val="1165"/>
        <w:widowControl w:val="false"/>
        <w:pBdr/>
        <w:spacing w:line="276" w:lineRule="auto"/>
        <w:ind w:firstLine="283"/>
        <w:rPr>
          <w:sz w:val="24"/>
          <w:szCs w:val="24"/>
        </w:rPr>
      </w:pPr>
      <w:r>
        <w:rPr>
          <w:rFonts w:eastAsia="Arial" w:cs="Arial"/>
          <w:sz w:val="24"/>
          <w:szCs w:val="24"/>
          <w:lang w:val="pt-PT"/>
        </w:rPr>
        <w:tab/>
        <w:t xml:space="preserve">A contratação deve assegurar a execução dos serviços com qualidade, eficiência e regularidade, por meio de </w:t>
      </w:r>
      <w:r>
        <w:rPr>
          <w:rStyle w:val="1117"/>
          <w:rFonts w:eastAsia="Arial" w:cs="Arial"/>
          <w:b w:val="0"/>
          <w:bCs w:val="0"/>
          <w:sz w:val="24"/>
          <w:szCs w:val="24"/>
          <w:lang w:val="pt-PT"/>
        </w:rPr>
        <w:t xml:space="preserve">Pregão Eletrônico</w:t>
      </w:r>
      <w:r>
        <w:rPr>
          <w:rFonts w:eastAsia="Arial" w:cs="Arial"/>
          <w:sz w:val="24"/>
          <w:szCs w:val="24"/>
          <w:lang w:val="pt-PT"/>
        </w:rPr>
        <w:t xml:space="preserve">, no </w:t>
      </w:r>
      <w:r>
        <w:rPr>
          <w:rStyle w:val="1117"/>
          <w:rFonts w:eastAsia="Arial" w:cs="Arial"/>
          <w:b w:val="0"/>
          <w:bCs w:val="0"/>
          <w:sz w:val="24"/>
          <w:szCs w:val="24"/>
          <w:lang w:val="pt-PT"/>
        </w:rPr>
        <w:t xml:space="preserve">sistema de Registro de Preços</w:t>
      </w:r>
      <w:r>
        <w:rPr>
          <w:rFonts w:eastAsia="Arial" w:cs="Arial"/>
          <w:sz w:val="24"/>
          <w:szCs w:val="24"/>
          <w:lang w:val="pt-PT"/>
        </w:rPr>
        <w:t xml:space="preserve">, com validade de </w:t>
      </w:r>
      <w:r>
        <w:rPr>
          <w:rStyle w:val="1117"/>
          <w:rFonts w:eastAsia="Arial" w:cs="Arial"/>
          <w:b w:val="0"/>
          <w:bCs w:val="0"/>
          <w:sz w:val="24"/>
          <w:szCs w:val="24"/>
          <w:lang w:val="pt-PT"/>
        </w:rPr>
        <w:t xml:space="preserve">12 (doze) meses</w:t>
      </w:r>
      <w:r>
        <w:rPr>
          <w:rFonts w:eastAsia="Arial" w:cs="Arial"/>
          <w:sz w:val="24"/>
          <w:szCs w:val="24"/>
          <w:lang w:val="pt-PT"/>
        </w:rPr>
        <w:t xml:space="preserve">, possibilitando que a Administração Pública atenda prontamente às suas necessidades operacionais, zelando pela salubridade dos ambientes e pela preservação do patrimônio público.</w:t>
      </w:r>
      <w:r>
        <w:rPr>
          <w:sz w:val="24"/>
          <w:szCs w:val="24"/>
        </w:rPr>
      </w:r>
    </w:p>
    <w:p>
      <w:pPr>
        <w:pStyle w:val="1165"/>
        <w:widowControl w:val="false"/>
        <w:pBdr/>
        <w:spacing w:line="276" w:lineRule="auto"/>
        <w:ind w:firstLine="283"/>
        <w:rPr>
          <w:sz w:val="24"/>
          <w:szCs w:val="24"/>
        </w:rPr>
      </w:pPr>
      <w:r>
        <w:rPr>
          <w:rFonts w:eastAsia="Arial" w:cs="Arial"/>
          <w:sz w:val="24"/>
          <w:szCs w:val="24"/>
          <w:lang w:val="pt-PT"/>
        </w:rPr>
        <w:tab/>
        <w:t xml:space="preserve">A medida visa garantir que os serviços de controle de pragas </w:t>
      </w:r>
      <w:r>
        <w:rPr>
          <w:rFonts w:eastAsia="Arial" w:cs="Arial"/>
          <w:sz w:val="24"/>
          <w:szCs w:val="24"/>
          <w:lang w:val="pt-PT"/>
        </w:rPr>
        <w:t xml:space="preserve">urbanas sejam realizados conforme os requisitos técnicos e sanitários estabelecidos, contribuindo para ambientes mais seguros para servidores e munícipes, além de apoiar a continuidade dos serviços públicos com responsabilidade e respeito à saúde coletiva.</w:t>
      </w:r>
      <w:r>
        <w:rPr>
          <w:sz w:val="24"/>
          <w:szCs w:val="24"/>
        </w:rPr>
      </w:r>
    </w:p>
    <w:tbl>
      <w:tblPr>
        <w:tblInd w:w="108" w:type="dxa"/>
        <w:tblW w:w="9918" w:type="dxa"/>
        <w:tblCellMar>
          <w:left w:w="108" w:type="dxa"/>
          <w:top w:w="0" w:type="dxa"/>
          <w:right w:w="108" w:type="dxa"/>
          <w:bottom w:w="0" w:type="dxa"/>
        </w:tblCellMar>
        <w:tblBorders/>
        <w:tblLayout w:type="fixed"/>
        <w:tblpPr w:horzAnchor="text" w:tblpXSpec="left" w:vertAnchor="text" w:tblpY="1" w:leftFromText="141" w:topFromText="0" w:rightFromText="141" w:bottomFromText="0"/>
        <w:tblLook w:val="0400" w:firstRow="0" w:lastRow="0" w:firstColumn="0" w:lastColumn="0" w:noHBand="0" w:noVBand="1"/>
      </w:tblPr>
      <w:tblGrid>
        <w:gridCol w:w="3851"/>
        <w:gridCol w:w="6067"/>
      </w:tblGrid>
      <w:tr>
        <w:trPr>
          <w:trHeight w:val="699"/>
        </w:trPr>
        <w:tc>
          <w:tcPr>
            <w:shd w:val="clear" w:color="ffffff" w:fill="ffffff"/>
            <w:tcBorders>
              <w:top w:val="single" w:color="000000" w:sz="4" w:space="0"/>
              <w:left w:val="single" w:color="000000" w:sz="4" w:space="0"/>
              <w:bottom w:val="single" w:color="000000" w:sz="4" w:space="0"/>
              <w:right w:val="single" w:color="000000" w:sz="4" w:space="0"/>
            </w:tcBorders>
            <w:tcW w:w="3851" w:type="dxa"/>
            <w:vAlign w:val="center"/>
            <w:textDirection w:val="lrTb"/>
            <w:noWrap w:val="false"/>
          </w:tcPr>
          <w:p>
            <w:pPr>
              <w:pStyle w:val="1056"/>
              <w:pBdr/>
              <w:spacing w:after="120" w:before="120" w:line="276" w:lineRule="auto"/>
              <w:ind/>
              <w:jc w:val="both"/>
              <w:rPr>
                <w:sz w:val="24"/>
                <w:szCs w:val="24"/>
              </w:rPr>
            </w:pPr>
            <w:r>
              <w:rPr>
                <w:rFonts w:eastAsia="Arial" w:cs="Arial"/>
                <w:b/>
                <w:bCs/>
                <w:sz w:val="24"/>
                <w:szCs w:val="24"/>
              </w:rPr>
              <w:t xml:space="preserve">Qualidade e Acessibilidade dos Serviços</w:t>
            </w:r>
            <w:r>
              <w:rPr>
                <w:sz w:val="24"/>
                <w:szCs w:val="24"/>
              </w:rPr>
            </w:r>
          </w:p>
        </w:tc>
        <w:tc>
          <w:tcPr>
            <w:shd w:val="clear" w:color="ffffff" w:fill="ffffff"/>
            <w:tcBorders>
              <w:top w:val="single" w:color="000000" w:sz="4" w:space="0"/>
              <w:left w:val="single" w:color="000000" w:sz="4" w:space="0"/>
              <w:bottom w:val="single" w:color="000000" w:sz="4" w:space="0"/>
              <w:right w:val="single" w:color="000000" w:sz="4" w:space="0"/>
            </w:tcBorders>
            <w:tcW w:w="6067" w:type="dxa"/>
            <w:vAlign w:val="center"/>
            <w:textDirection w:val="lrTb"/>
            <w:noWrap w:val="false"/>
          </w:tcPr>
          <w:p>
            <w:pPr>
              <w:pStyle w:val="1056"/>
              <w:pBdr/>
              <w:spacing w:after="120" w:before="120" w:line="276" w:lineRule="auto"/>
              <w:ind/>
              <w:jc w:val="both"/>
              <w:rPr>
                <w:rFonts w:ascii="Arial" w:hAnsi="Arial" w:eastAsia="Arial" w:cs="Arial"/>
                <w:sz w:val="24"/>
                <w:szCs w:val="24"/>
              </w:rPr>
            </w:pPr>
            <w:r>
              <w:rPr>
                <w:rFonts w:eastAsia="Arial" w:cs="Arial"/>
                <w:sz w:val="24"/>
                <w:szCs w:val="24"/>
              </w:rPr>
              <w:t xml:space="preserve">A empresa contratada deverá garantir a execução dos serviços de dedetização com qualidade, eficácia e responsabilidade, considerando a segurança de todas as pessoas que frequentam os prédios públ</w:t>
            </w:r>
            <w:r>
              <w:rPr>
                <w:rFonts w:eastAsia="Arial" w:cs="Arial"/>
                <w:sz w:val="24"/>
                <w:szCs w:val="24"/>
              </w:rPr>
              <w:t xml:space="preserve">icos, inclusive aquelas com deficiência. Os serviços deverão ser realizados de forma a não comprometer o acesso e a mobilidade nos ambientes, respeitando as normas de acessibilidade vigentes, especialmente durante e após as aplicações de produtos químicos.</w:t>
            </w:r>
            <w:r>
              <w:rPr>
                <w:rFonts w:ascii="Arial" w:hAnsi="Arial" w:eastAsia="Arial" w:cs="Arial"/>
                <w:sz w:val="24"/>
                <w:szCs w:val="24"/>
              </w:rPr>
            </w:r>
          </w:p>
        </w:tc>
      </w:tr>
      <w:tr>
        <w:trPr>
          <w:trHeight w:val="694"/>
        </w:trPr>
        <w:tc>
          <w:tcPr>
            <w:shd w:val="clear" w:color="ffffff" w:fill="ffffff"/>
            <w:tcBorders>
              <w:top w:val="single" w:color="000000" w:sz="4" w:space="0"/>
              <w:left w:val="single" w:color="000000" w:sz="4" w:space="0"/>
              <w:bottom w:val="single" w:color="000000" w:sz="4" w:space="0"/>
              <w:right w:val="single" w:color="000000" w:sz="4" w:space="0"/>
            </w:tcBorders>
            <w:tcW w:w="3851" w:type="dxa"/>
            <w:vAlign w:val="center"/>
            <w:textDirection w:val="lrTb"/>
            <w:noWrap w:val="false"/>
          </w:tcPr>
          <w:p>
            <w:pPr>
              <w:pStyle w:val="1056"/>
              <w:pBdr/>
              <w:spacing w:after="120" w:before="120" w:line="276" w:lineRule="auto"/>
              <w:ind/>
              <w:jc w:val="both"/>
              <w:rPr>
                <w:sz w:val="24"/>
                <w:szCs w:val="24"/>
              </w:rPr>
            </w:pPr>
            <w:r>
              <w:rPr>
                <w:rFonts w:eastAsia="Arial" w:cs="Arial"/>
                <w:b/>
                <w:bCs/>
                <w:sz w:val="24"/>
                <w:szCs w:val="24"/>
              </w:rPr>
              <w:t xml:space="preserve">Segurança da Informação e Processos</w:t>
            </w:r>
            <w:r>
              <w:rPr>
                <w:sz w:val="24"/>
                <w:szCs w:val="24"/>
              </w:rPr>
            </w:r>
          </w:p>
        </w:tc>
        <w:tc>
          <w:tcPr>
            <w:shd w:val="clear" w:color="ffffff" w:fill="ffffff"/>
            <w:tcBorders>
              <w:top w:val="single" w:color="000000" w:sz="4" w:space="0"/>
              <w:left w:val="single" w:color="000000" w:sz="4" w:space="0"/>
              <w:bottom w:val="single" w:color="000000" w:sz="4" w:space="0"/>
              <w:right w:val="single" w:color="000000" w:sz="4" w:space="0"/>
            </w:tcBorders>
            <w:tcW w:w="6067" w:type="dxa"/>
            <w:vAlign w:val="center"/>
            <w:textDirection w:val="lrTb"/>
            <w:noWrap w:val="false"/>
          </w:tcPr>
          <w:p>
            <w:pPr>
              <w:pStyle w:val="1056"/>
              <w:pBdr/>
              <w:spacing w:after="120" w:before="120" w:line="276" w:lineRule="auto"/>
              <w:ind/>
              <w:jc w:val="both"/>
              <w:rPr>
                <w:rFonts w:ascii="Arial" w:hAnsi="Arial" w:eastAsia="Arial" w:cs="Arial"/>
                <w:sz w:val="24"/>
                <w:szCs w:val="24"/>
              </w:rPr>
            </w:pPr>
            <w:r>
              <w:rPr>
                <w:rFonts w:eastAsia="Arial" w:cs="Arial"/>
                <w:sz w:val="24"/>
                <w:szCs w:val="24"/>
              </w:rPr>
              <w:t xml:space="preserve">Os serviços prestados deverão observar critérios de segurança nas operações e no manuseio de substâncias químicas, sobretudo em ambientes que abrigam documentos, equipamentos e </w:t>
            </w:r>
            <w:r>
              <w:rPr>
                <w:rFonts w:eastAsia="Arial" w:cs="Arial"/>
                <w:sz w:val="24"/>
                <w:szCs w:val="24"/>
              </w:rPr>
              <w:t xml:space="preserve">informações sensíveis. A empresa deverá adotar práticas que assegurem a integridade física dos espaços e a não exposição indevida de servidores e usuários, utilizando produtos autorizados por órgãos competentes e cumprindo protocolos técnicos e ambientais.</w:t>
            </w:r>
            <w:r>
              <w:rPr>
                <w:rFonts w:ascii="Arial" w:hAnsi="Arial" w:eastAsia="Arial" w:cs="Arial"/>
                <w:sz w:val="24"/>
                <w:szCs w:val="24"/>
              </w:rPr>
            </w:r>
          </w:p>
        </w:tc>
      </w:tr>
      <w:tr>
        <w:trPr>
          <w:trHeight w:val="694"/>
        </w:trPr>
        <w:tc>
          <w:tcPr>
            <w:shd w:val="clear" w:color="ffffff" w:fill="ffffff"/>
            <w:tcBorders>
              <w:left w:val="single" w:color="000000" w:sz="4" w:space="0"/>
              <w:bottom w:val="single" w:color="000000" w:sz="4" w:space="0"/>
              <w:right w:val="single" w:color="000000" w:sz="4" w:space="0"/>
            </w:tcBorders>
            <w:tcW w:w="3851" w:type="dxa"/>
            <w:vAlign w:val="center"/>
            <w:textDirection w:val="lrTb"/>
            <w:noWrap w:val="false"/>
          </w:tcPr>
          <w:p>
            <w:pPr>
              <w:pStyle w:val="1056"/>
              <w:pBdr/>
              <w:spacing w:after="120" w:before="120" w:line="276" w:lineRule="auto"/>
              <w:ind/>
              <w:jc w:val="both"/>
              <w:rPr>
                <w:sz w:val="24"/>
                <w:szCs w:val="24"/>
              </w:rPr>
            </w:pPr>
            <w:r>
              <w:rPr>
                <w:rFonts w:eastAsia="Arial" w:cs="Arial"/>
                <w:b/>
                <w:bCs/>
                <w:sz w:val="24"/>
                <w:szCs w:val="24"/>
              </w:rPr>
              <w:t xml:space="preserve">Infraestrutura Técnica Adequada</w:t>
            </w:r>
            <w:r>
              <w:rPr>
                <w:sz w:val="24"/>
                <w:szCs w:val="24"/>
              </w:rPr>
            </w:r>
          </w:p>
        </w:tc>
        <w:tc>
          <w:tcPr>
            <w:shd w:val="clear" w:color="ffffff" w:fill="ffffff"/>
            <w:tcBorders>
              <w:left w:val="single" w:color="000000" w:sz="4" w:space="0"/>
              <w:bottom w:val="single" w:color="000000" w:sz="4" w:space="0"/>
              <w:right w:val="single" w:color="000000" w:sz="4" w:space="0"/>
            </w:tcBorders>
            <w:tcW w:w="6067" w:type="dxa"/>
            <w:vAlign w:val="center"/>
            <w:textDirection w:val="lrTb"/>
            <w:noWrap w:val="false"/>
          </w:tcPr>
          <w:p>
            <w:pPr>
              <w:pStyle w:val="1056"/>
              <w:pBdr/>
              <w:spacing w:after="120" w:before="120" w:line="276" w:lineRule="auto"/>
              <w:ind/>
              <w:jc w:val="both"/>
              <w:rPr>
                <w:sz w:val="24"/>
                <w:szCs w:val="24"/>
              </w:rPr>
            </w:pPr>
            <w:r>
              <w:rPr>
                <w:rFonts w:eastAsia="Arial" w:cs="Arial"/>
                <w:sz w:val="24"/>
                <w:szCs w:val="24"/>
              </w:rPr>
              <w:t xml:space="preserve">A empresa contratada deverá dispor de </w:t>
            </w:r>
            <w:r>
              <w:rPr>
                <w:rStyle w:val="1117"/>
                <w:rFonts w:eastAsia="Arial" w:cs="Arial"/>
                <w:b w:val="0"/>
                <w:bCs w:val="0"/>
                <w:sz w:val="24"/>
                <w:szCs w:val="24"/>
              </w:rPr>
              <w:t xml:space="preserve">infraestrutura adequada</w:t>
            </w:r>
            <w:r>
              <w:rPr>
                <w:rFonts w:eastAsia="Arial" w:cs="Arial"/>
                <w:sz w:val="24"/>
                <w:szCs w:val="24"/>
              </w:rPr>
              <w:t xml:space="preserve">, incluindo equipamentos gráficos modernos, capacidade produtiva compatível com a demanda da Administração e profissionais qualificados, assegurando </w:t>
            </w:r>
            <w:r>
              <w:rPr>
                <w:rStyle w:val="1117"/>
                <w:rFonts w:eastAsia="Arial" w:cs="Arial"/>
                <w:b w:val="0"/>
                <w:bCs w:val="0"/>
                <w:sz w:val="24"/>
                <w:szCs w:val="24"/>
              </w:rPr>
              <w:t xml:space="preserve">qualidade, padronização e cumprimento dos prazos estabelecidos</w:t>
            </w:r>
            <w:r>
              <w:rPr>
                <w:rFonts w:eastAsia="Arial" w:cs="Arial"/>
                <w:sz w:val="24"/>
                <w:szCs w:val="24"/>
              </w:rPr>
              <w:t xml:space="preserve">.A empresa contratada deverá dispor de infraestrutura técnica compatível com a complexidade e a abrangência dos serviços, incluindo equipament</w:t>
            </w:r>
            <w:r>
              <w:rPr>
                <w:rFonts w:eastAsia="Arial" w:cs="Arial"/>
                <w:sz w:val="24"/>
                <w:szCs w:val="24"/>
              </w:rPr>
              <w:t xml:space="preserve">os específicos, veículos apropriados, produtos legalmente autorizados (com registro na ANVISA ou outro órgão regulador) e equipe técnica capacitada e regularmente treinada, garantindo o cumprimento dos prazos e a eficiência das ações de controle de pragas.</w:t>
            </w:r>
            <w:r>
              <w:rPr>
                <w:sz w:val="24"/>
                <w:szCs w:val="24"/>
              </w:rPr>
            </w:r>
          </w:p>
        </w:tc>
      </w:tr>
      <w:tr>
        <w:trPr>
          <w:trHeight w:val="694"/>
        </w:trPr>
        <w:tc>
          <w:tcPr>
            <w:shd w:val="clear" w:color="ffffff" w:fill="ffffff"/>
            <w:tcBorders>
              <w:left w:val="single" w:color="000000" w:sz="4" w:space="0"/>
              <w:bottom w:val="single" w:color="000000" w:sz="4" w:space="0"/>
              <w:right w:val="single" w:color="000000" w:sz="4" w:space="0"/>
            </w:tcBorders>
            <w:tcW w:w="3851" w:type="dxa"/>
            <w:vAlign w:val="center"/>
            <w:textDirection w:val="lrTb"/>
            <w:noWrap w:val="false"/>
          </w:tcPr>
          <w:p>
            <w:pPr>
              <w:pStyle w:val="1056"/>
              <w:pBdr/>
              <w:spacing w:after="120" w:before="120" w:line="276" w:lineRule="auto"/>
              <w:ind/>
              <w:jc w:val="both"/>
              <w:rPr>
                <w:sz w:val="24"/>
                <w:szCs w:val="24"/>
              </w:rPr>
            </w:pPr>
            <w:r>
              <w:rPr>
                <w:rFonts w:eastAsia="Arial" w:cs="Arial"/>
                <w:b/>
                <w:bCs/>
                <w:sz w:val="24"/>
                <w:szCs w:val="24"/>
              </w:rPr>
              <w:t xml:space="preserve">Atendimento Ágil e Logística Eficiente</w:t>
            </w:r>
            <w:r>
              <w:rPr>
                <w:sz w:val="24"/>
                <w:szCs w:val="24"/>
              </w:rPr>
            </w:r>
          </w:p>
        </w:tc>
        <w:tc>
          <w:tcPr>
            <w:shd w:val="clear" w:color="ffffff" w:fill="ffffff"/>
            <w:tcBorders>
              <w:left w:val="single" w:color="000000" w:sz="4" w:space="0"/>
              <w:bottom w:val="single" w:color="000000" w:sz="4" w:space="0"/>
              <w:right w:val="single" w:color="000000" w:sz="4" w:space="0"/>
            </w:tcBorders>
            <w:tcW w:w="6067" w:type="dxa"/>
            <w:vAlign w:val="center"/>
            <w:textDirection w:val="lrTb"/>
            <w:noWrap w:val="false"/>
          </w:tcPr>
          <w:p>
            <w:pPr>
              <w:pStyle w:val="1056"/>
              <w:pBdr/>
              <w:spacing w:after="120" w:before="120" w:line="276" w:lineRule="auto"/>
              <w:ind/>
              <w:jc w:val="both"/>
              <w:rPr>
                <w:sz w:val="24"/>
                <w:szCs w:val="24"/>
              </w:rPr>
            </w:pPr>
            <w:r>
              <w:rPr>
                <w:rFonts w:eastAsia="Arial" w:cs="Arial"/>
                <w:sz w:val="24"/>
                <w:szCs w:val="24"/>
              </w:rPr>
              <w:t xml:space="preserve">É essencial que a empresa possua </w:t>
            </w:r>
            <w:r>
              <w:rPr>
                <w:rStyle w:val="1117"/>
                <w:rFonts w:eastAsia="Arial" w:cs="Arial"/>
                <w:b w:val="0"/>
                <w:bCs w:val="0"/>
                <w:sz w:val="24"/>
                <w:szCs w:val="24"/>
              </w:rPr>
              <w:t xml:space="preserve">localização estratégica e logística eficiente</w:t>
            </w:r>
            <w:r>
              <w:rPr>
                <w:rFonts w:eastAsia="Arial" w:cs="Arial"/>
                <w:sz w:val="24"/>
                <w:szCs w:val="24"/>
              </w:rPr>
              <w:t xml:space="preserve">, de modo a garantir a entrega tempestiva dos materiais gráficos às diversas unidades administrativas do município, inclusive aquelas localizadas em áreas mais afastadas, assegurando a ampla cobertura dos serviços.</w:t>
            </w:r>
            <w:r>
              <w:rPr>
                <w:sz w:val="24"/>
                <w:szCs w:val="24"/>
              </w:rPr>
            </w:r>
          </w:p>
        </w:tc>
      </w:tr>
      <w:tr>
        <w:trPr>
          <w:trHeight w:val="694"/>
        </w:trPr>
        <w:tc>
          <w:tcPr>
            <w:shd w:val="clear" w:color="ffffff" w:fill="ffffff"/>
            <w:tcBorders>
              <w:left w:val="single" w:color="000000" w:sz="4" w:space="0"/>
              <w:bottom w:val="single" w:color="000000" w:sz="4" w:space="0"/>
              <w:right w:val="single" w:color="000000" w:sz="4" w:space="0"/>
            </w:tcBorders>
            <w:tcW w:w="3851" w:type="dxa"/>
            <w:vAlign w:val="center"/>
            <w:textDirection w:val="lrTb"/>
            <w:noWrap w:val="false"/>
          </w:tcPr>
          <w:p>
            <w:pPr>
              <w:pStyle w:val="1056"/>
              <w:pBdr/>
              <w:spacing w:after="120" w:before="120" w:line="276" w:lineRule="auto"/>
              <w:ind/>
              <w:jc w:val="both"/>
              <w:rPr>
                <w:sz w:val="24"/>
                <w:szCs w:val="24"/>
              </w:rPr>
            </w:pPr>
            <w:r>
              <w:rPr>
                <w:rFonts w:eastAsia="Arial" w:cs="Arial"/>
                <w:b/>
                <w:bCs/>
                <w:sz w:val="24"/>
                <w:szCs w:val="24"/>
              </w:rPr>
              <w:t xml:space="preserve">Conformidade Legal e Técnica</w:t>
            </w:r>
            <w:r>
              <w:rPr>
                <w:sz w:val="24"/>
                <w:szCs w:val="24"/>
              </w:rPr>
            </w:r>
          </w:p>
        </w:tc>
        <w:tc>
          <w:tcPr>
            <w:shd w:val="clear" w:color="ffffff" w:fill="ffffff"/>
            <w:tcBorders>
              <w:left w:val="single" w:color="000000" w:sz="4" w:space="0"/>
              <w:bottom w:val="single" w:color="000000" w:sz="4" w:space="0"/>
              <w:right w:val="single" w:color="000000" w:sz="4" w:space="0"/>
            </w:tcBorders>
            <w:tcW w:w="6067" w:type="dxa"/>
            <w:vAlign w:val="center"/>
            <w:textDirection w:val="lrTb"/>
            <w:noWrap w:val="false"/>
          </w:tcPr>
          <w:p>
            <w:pPr>
              <w:pStyle w:val="1056"/>
              <w:pBdr/>
              <w:spacing w:after="120" w:before="120" w:line="276" w:lineRule="auto"/>
              <w:ind/>
              <w:jc w:val="both"/>
              <w:rPr>
                <w:sz w:val="24"/>
                <w:szCs w:val="24"/>
              </w:rPr>
            </w:pPr>
            <w:r>
              <w:rPr>
                <w:rFonts w:eastAsia="Arial" w:cs="Arial"/>
                <w:sz w:val="24"/>
                <w:szCs w:val="24"/>
              </w:rPr>
              <w:t xml:space="preserve">Todos os serviços contratados deverão estar em </w:t>
            </w:r>
            <w:r>
              <w:rPr>
                <w:rStyle w:val="1117"/>
                <w:rFonts w:eastAsia="Arial" w:cs="Arial"/>
                <w:b w:val="0"/>
                <w:bCs w:val="0"/>
                <w:sz w:val="24"/>
                <w:szCs w:val="24"/>
              </w:rPr>
              <w:t xml:space="preserve">conformidade com a legislação vigente</w:t>
            </w:r>
            <w:r>
              <w:rPr>
                <w:rFonts w:eastAsia="Arial" w:cs="Arial"/>
                <w:sz w:val="24"/>
                <w:szCs w:val="24"/>
              </w:rPr>
              <w:t xml:space="preserve">, incluindo normas técnicas da ABNT, diretrizes de sustentabilidade quando aplicáveis, e demais exigências legais pertinentes à prestação de serviços gráficos no setor público.</w:t>
            </w:r>
            <w:r>
              <w:rPr>
                <w:sz w:val="24"/>
                <w:szCs w:val="24"/>
              </w:rPr>
            </w:r>
          </w:p>
        </w:tc>
      </w:tr>
    </w:tbl>
    <w:p>
      <w:pPr>
        <w:pStyle w:val="1056"/>
        <w:numPr>
          <w:ilvl w:val="2"/>
          <w:numId w:val="23"/>
        </w:numPr>
        <w:pBdr/>
        <w:tabs>
          <w:tab w:val="left" w:leader="none" w:pos="704"/>
          <w:tab w:val="clear" w:leader="none" w:pos="720"/>
          <w:tab w:val="left" w:leader="none" w:pos="851"/>
        </w:tabs>
        <w:spacing w:line="276" w:lineRule="auto"/>
        <w:ind w:hanging="567" w:left="703"/>
        <w:jc w:val="both"/>
        <w:rPr>
          <w:rFonts w:ascii="Arial" w:hAnsi="Arial" w:eastAsia="Arial" w:cs="Arial"/>
          <w:b/>
          <w:sz w:val="24"/>
          <w:szCs w:val="24"/>
        </w:rPr>
      </w:pPr>
      <w:r>
        <w:rPr>
          <w:rFonts w:eastAsia="Arial" w:cs="Arial"/>
          <w:b/>
          <w:sz w:val="24"/>
          <w:szCs w:val="24"/>
        </w:rPr>
        <w:t xml:space="preserve">Requisitos Legais da Solução</w:t>
      </w:r>
      <w:r>
        <w:rPr>
          <w:rFonts w:ascii="Arial" w:hAnsi="Arial" w:eastAsia="Arial" w:cs="Arial"/>
          <w:b/>
          <w:sz w:val="24"/>
          <w:szCs w:val="24"/>
        </w:rPr>
      </w:r>
    </w:p>
    <w:p>
      <w:pPr>
        <w:pStyle w:val="1056"/>
        <w:pBdr/>
        <w:spacing w:after="120" w:before="9" w:line="276" w:lineRule="auto"/>
        <w:ind/>
        <w:jc w:val="both"/>
        <w:rPr>
          <w:rFonts w:ascii="Arial" w:hAnsi="Arial" w:eastAsia="Arial" w:cs="Arial"/>
          <w:b/>
          <w:sz w:val="24"/>
          <w:szCs w:val="24"/>
        </w:rPr>
      </w:pPr>
      <w:r>
        <w:rPr>
          <w:rFonts w:eastAsia="Arial" w:cs="Arial"/>
          <w:b/>
          <w:sz w:val="24"/>
          <w:szCs w:val="24"/>
        </w:rPr>
      </w:r>
      <w:r>
        <w:rPr>
          <w:rFonts w:ascii="Arial" w:hAnsi="Arial" w:eastAsia="Arial" w:cs="Arial"/>
          <w:b/>
          <w:sz w:val="24"/>
          <w:szCs w:val="24"/>
        </w:rPr>
      </w:r>
    </w:p>
    <w:p>
      <w:pPr>
        <w:pStyle w:val="1056"/>
        <w:pBdr/>
        <w:spacing w:line="276" w:lineRule="auto"/>
        <w:ind w:left="137"/>
        <w:jc w:val="both"/>
        <w:rPr>
          <w:rFonts w:ascii="Arial" w:hAnsi="Arial" w:eastAsia="Arial" w:cs="Arial"/>
          <w:sz w:val="24"/>
          <w:szCs w:val="24"/>
        </w:rPr>
      </w:pPr>
      <w:r>
        <w:rPr>
          <w:rFonts w:eastAsia="Arial" w:cs="Arial"/>
          <w:sz w:val="24"/>
          <w:szCs w:val="24"/>
        </w:rPr>
        <w:t xml:space="preserve">A solução adotada neste documento deve orientar-se e respeitar as seguintes normatizações:</w:t>
      </w:r>
      <w:r>
        <w:rPr>
          <w:rFonts w:ascii="Arial" w:hAnsi="Arial" w:eastAsia="Arial" w:cs="Arial"/>
          <w:sz w:val="24"/>
          <w:szCs w:val="24"/>
        </w:rPr>
      </w:r>
    </w:p>
    <w:p>
      <w:pPr>
        <w:pStyle w:val="1056"/>
        <w:numPr>
          <w:ilvl w:val="0"/>
          <w:numId w:val="22"/>
        </w:numPr>
        <w:pBdr/>
        <w:tabs>
          <w:tab w:val="left" w:leader="none" w:pos="494"/>
          <w:tab w:val="left" w:leader="none" w:pos="495"/>
          <w:tab w:val="clear" w:leader="none" w:pos="720"/>
        </w:tabs>
        <w:spacing w:line="276" w:lineRule="auto"/>
        <w:ind w:right="587" w:hanging="358" w:left="494"/>
        <w:jc w:val="both"/>
        <w:rPr>
          <w:rFonts w:ascii="Arial" w:hAnsi="Arial" w:eastAsia="Arial" w:cs="Arial"/>
          <w:sz w:val="24"/>
          <w:szCs w:val="24"/>
        </w:rPr>
      </w:pPr>
      <w:r>
        <w:rPr>
          <w:rFonts w:eastAsia="Arial" w:cs="Arial"/>
          <w:sz w:val="24"/>
          <w:szCs w:val="24"/>
        </w:rPr>
        <w:t xml:space="preserve">Lei nº 14.133/2021, que trata das normas gerais sobre licitações e contratos administrativos</w:t>
      </w:r>
      <w:r>
        <w:rPr>
          <w:rFonts w:ascii="Arial" w:hAnsi="Arial" w:eastAsia="Arial" w:cs="Arial"/>
          <w:sz w:val="24"/>
          <w:szCs w:val="24"/>
        </w:rPr>
      </w:r>
    </w:p>
    <w:p>
      <w:pPr>
        <w:pStyle w:val="1056"/>
        <w:numPr>
          <w:ilvl w:val="0"/>
          <w:numId w:val="22"/>
        </w:numPr>
        <w:pBdr/>
        <w:tabs>
          <w:tab w:val="left" w:leader="none" w:pos="495"/>
          <w:tab w:val="clear" w:leader="none" w:pos="720"/>
        </w:tabs>
        <w:spacing w:after="120" w:before="4" w:line="276" w:lineRule="auto"/>
        <w:ind w:right="588" w:hanging="358" w:left="494"/>
        <w:jc w:val="both"/>
        <w:rPr>
          <w:rFonts w:ascii="Arial" w:hAnsi="Arial" w:eastAsia="Arial" w:cs="Arial"/>
          <w:sz w:val="24"/>
          <w:szCs w:val="24"/>
        </w:rPr>
      </w:pPr>
      <w:r>
        <w:rPr>
          <w:rFonts w:eastAsia="Arial" w:cs="Arial"/>
          <w:sz w:val="24"/>
          <w:szCs w:val="24"/>
        </w:rPr>
        <w:t xml:space="preserve">Lei Complementar nº 123/2006, que estabelece normas gerais relativas ao tratamento diferenciado e favorecido a ser dispensado às microempresas e empresas de pequeno porte atualizada;</w:t>
      </w:r>
      <w:r>
        <w:rPr>
          <w:rFonts w:ascii="Arial" w:hAnsi="Arial" w:eastAsia="Arial" w:cs="Arial"/>
          <w:sz w:val="24"/>
          <w:szCs w:val="24"/>
        </w:rPr>
      </w:r>
    </w:p>
    <w:p>
      <w:pPr>
        <w:pStyle w:val="1056"/>
        <w:numPr>
          <w:ilvl w:val="0"/>
          <w:numId w:val="22"/>
        </w:numPr>
        <w:pBdr/>
        <w:tabs>
          <w:tab w:val="left" w:leader="none" w:pos="495"/>
          <w:tab w:val="clear" w:leader="none" w:pos="720"/>
        </w:tabs>
        <w:spacing w:after="120" w:before="3" w:line="276" w:lineRule="auto"/>
        <w:ind w:right="583" w:hanging="358" w:left="494"/>
        <w:jc w:val="both"/>
        <w:rPr>
          <w:rFonts w:ascii="Arial" w:hAnsi="Arial" w:eastAsia="Arial" w:cs="Arial"/>
          <w:sz w:val="24"/>
          <w:szCs w:val="24"/>
        </w:rPr>
      </w:pPr>
      <w:r>
        <w:rPr>
          <w:rFonts w:eastAsia="Arial" w:cs="Arial"/>
          <w:sz w:val="24"/>
          <w:szCs w:val="24"/>
        </w:rPr>
        <w:t xml:space="preserve">Decreto Federal nº 8.538/2015, que regulamenta o tratamento favorecido, diferenciado e simplificado pa</w:t>
      </w:r>
      <w:r>
        <w:rPr>
          <w:rFonts w:eastAsia="Arial" w:cs="Arial"/>
          <w:sz w:val="24"/>
          <w:szCs w:val="24"/>
        </w:rPr>
        <w:t xml:space="preserve">ra microempresas, empresas de pequeno porte, agricultores familiares, produtores rurais pessoa física, microempreendedores individuais e sociedades cooperativas nas contratações públicas de bens, serviços e obras no âmbito da administração pública federal;</w:t>
      </w:r>
      <w:r>
        <w:rPr>
          <w:rFonts w:ascii="Arial" w:hAnsi="Arial" w:eastAsia="Arial" w:cs="Arial"/>
          <w:sz w:val="24"/>
          <w:szCs w:val="24"/>
        </w:rPr>
      </w:r>
    </w:p>
    <w:p>
      <w:pPr>
        <w:pStyle w:val="1056"/>
        <w:numPr>
          <w:ilvl w:val="0"/>
          <w:numId w:val="22"/>
        </w:numPr>
        <w:pBdr/>
        <w:tabs>
          <w:tab w:val="left" w:leader="none" w:pos="495"/>
          <w:tab w:val="clear" w:leader="none" w:pos="720"/>
        </w:tabs>
        <w:spacing w:after="120" w:before="3" w:line="276" w:lineRule="auto"/>
        <w:ind w:right="583" w:hanging="358" w:left="494"/>
        <w:jc w:val="both"/>
        <w:rPr>
          <w:rFonts w:ascii="Arial" w:hAnsi="Arial" w:eastAsia="Arial" w:cs="Arial"/>
          <w:sz w:val="24"/>
          <w:szCs w:val="24"/>
        </w:rPr>
      </w:pPr>
      <w:r>
        <w:rPr>
          <w:rFonts w:eastAsia="Arial" w:cs="Arial"/>
          <w:sz w:val="24"/>
          <w:szCs w:val="24"/>
        </w:rPr>
        <w:t xml:space="preserve">Decreto Federal nº 11.462 de 31 de março de 2023 </w:t>
      </w:r>
      <w:r>
        <w:rPr>
          <w:rFonts w:cs="Arial"/>
          <w:sz w:val="24"/>
          <w:szCs w:val="24"/>
        </w:rPr>
        <w:t xml:space="preserve">que regulamenta os art. 82 a art. 86 da Lei nº 14.133, de 1º de abril de 2021;</w:t>
      </w:r>
      <w:r>
        <w:rPr>
          <w:rFonts w:ascii="Arial" w:hAnsi="Arial" w:eastAsia="Arial" w:cs="Arial"/>
          <w:sz w:val="24"/>
          <w:szCs w:val="24"/>
        </w:rPr>
      </w:r>
    </w:p>
    <w:p>
      <w:pPr>
        <w:pStyle w:val="1056"/>
        <w:numPr>
          <w:ilvl w:val="0"/>
          <w:numId w:val="22"/>
        </w:numPr>
        <w:pBdr/>
        <w:tabs>
          <w:tab w:val="left" w:leader="none" w:pos="495"/>
          <w:tab w:val="clear" w:leader="none" w:pos="720"/>
        </w:tabs>
        <w:spacing w:after="120" w:before="3" w:line="276" w:lineRule="auto"/>
        <w:ind w:right="583" w:hanging="358" w:left="494"/>
        <w:jc w:val="both"/>
        <w:rPr>
          <w:rFonts w:ascii="Arial" w:hAnsi="Arial" w:eastAsia="Arial" w:cs="Arial"/>
          <w:sz w:val="24"/>
          <w:szCs w:val="24"/>
        </w:rPr>
      </w:pPr>
      <w:r>
        <w:rPr>
          <w:rFonts w:eastAsia="Arial" w:cs="Arial"/>
          <w:sz w:val="24"/>
          <w:szCs w:val="24"/>
        </w:rPr>
        <w:t xml:space="preserve">Decreto Municipal 278, de 19 dezembro de 2023, que regulamenta a Lei Federal nº 14.133/2021;</w:t>
      </w:r>
      <w:r>
        <w:rPr>
          <w:rFonts w:ascii="Arial" w:hAnsi="Arial" w:eastAsia="Arial" w:cs="Arial"/>
          <w:sz w:val="24"/>
          <w:szCs w:val="24"/>
        </w:rPr>
      </w:r>
    </w:p>
    <w:p>
      <w:pPr>
        <w:pStyle w:val="1056"/>
        <w:numPr>
          <w:ilvl w:val="0"/>
          <w:numId w:val="22"/>
        </w:numPr>
        <w:pBdr/>
        <w:tabs>
          <w:tab w:val="left" w:leader="none" w:pos="495"/>
          <w:tab w:val="clear" w:leader="none" w:pos="720"/>
        </w:tabs>
        <w:spacing w:after="120" w:before="5" w:line="276" w:lineRule="auto"/>
        <w:ind w:right="581" w:hanging="358" w:left="494"/>
        <w:jc w:val="both"/>
        <w:rPr>
          <w:rFonts w:ascii="Arial" w:hAnsi="Arial" w:eastAsia="Arial" w:cs="Arial"/>
          <w:sz w:val="24"/>
          <w:szCs w:val="24"/>
        </w:rPr>
      </w:pPr>
      <w:r>
        <w:rPr>
          <w:rFonts w:eastAsia="Arial" w:cs="Arial"/>
          <w:sz w:val="24"/>
          <w:szCs w:val="24"/>
        </w:rPr>
        <w:t xml:space="preserve">Instrução Normativa SEGES</w:t>
      </w:r>
      <w:r>
        <w:rPr>
          <w:rFonts w:eastAsia="Arial" w:cs="Arial"/>
          <w:sz w:val="24"/>
          <w:szCs w:val="24"/>
        </w:rPr>
        <w:t xml:space="preserve">/ME nº 58/2022, que dispõe sobre a elaboração dos Estudos Técnicos Preliminares - ETP - para a aquisição de bens e a contratação de serviços e obras, no âmbito da Administração Pública federal direta, autárquica e fundacional, e sobre o Sistema ETP digital</w:t>
      </w:r>
      <w:r>
        <w:rPr>
          <w:rFonts w:ascii="Arial" w:hAnsi="Arial" w:eastAsia="Arial" w:cs="Arial"/>
          <w:sz w:val="24"/>
          <w:szCs w:val="24"/>
        </w:rPr>
      </w:r>
    </w:p>
    <w:p>
      <w:pPr>
        <w:pStyle w:val="1056"/>
        <w:numPr>
          <w:ilvl w:val="0"/>
          <w:numId w:val="22"/>
        </w:numPr>
        <w:pBdr/>
        <w:tabs>
          <w:tab w:val="left" w:leader="none" w:pos="495"/>
          <w:tab w:val="clear" w:leader="none" w:pos="720"/>
        </w:tabs>
        <w:spacing w:after="120" w:before="2" w:line="276" w:lineRule="auto"/>
        <w:ind w:right="584" w:hanging="358" w:left="494"/>
        <w:jc w:val="both"/>
        <w:rPr>
          <w:rFonts w:ascii="Arial" w:hAnsi="Arial" w:eastAsia="Arial" w:cs="Arial"/>
          <w:sz w:val="24"/>
          <w:szCs w:val="24"/>
        </w:rPr>
      </w:pPr>
      <w:r>
        <w:rPr>
          <w:rFonts w:eastAsia="Arial" w:cs="Arial"/>
          <w:sz w:val="24"/>
          <w:szCs w:val="24"/>
        </w:rPr>
        <w:t xml:space="preserve">Instrução Normativa SLTI/MP nº 01/2010, que dispõe sobre os critérios de sustentabilidade ambiental na aquisição de bens, contratação de serviços ou obras;</w:t>
      </w:r>
      <w:r>
        <w:rPr>
          <w:rFonts w:ascii="Arial" w:hAnsi="Arial" w:eastAsia="Arial" w:cs="Arial"/>
          <w:sz w:val="24"/>
          <w:szCs w:val="24"/>
        </w:rPr>
      </w:r>
    </w:p>
    <w:p>
      <w:pPr>
        <w:pStyle w:val="1056"/>
        <w:pBdr/>
        <w:tabs>
          <w:tab w:val="left" w:leader="none" w:pos="495"/>
          <w:tab w:val="clear" w:leader="none" w:pos="720"/>
        </w:tabs>
        <w:spacing w:after="120" w:before="2" w:line="276" w:lineRule="auto"/>
        <w:ind w:right="584" w:left="494"/>
        <w:jc w:val="both"/>
        <w:rPr>
          <w:rFonts w:ascii="Arial" w:hAnsi="Arial" w:eastAsia="Arial" w:cs="Arial"/>
          <w:sz w:val="24"/>
          <w:szCs w:val="24"/>
        </w:rPr>
      </w:pPr>
      <w:r>
        <w:rPr>
          <w:rFonts w:eastAsia="Arial" w:cs="Arial"/>
          <w:sz w:val="24"/>
          <w:szCs w:val="24"/>
        </w:rPr>
      </w:r>
      <w:r>
        <w:rPr>
          <w:rFonts w:ascii="Arial" w:hAnsi="Arial" w:eastAsia="Arial" w:cs="Arial"/>
          <w:sz w:val="24"/>
          <w:szCs w:val="24"/>
        </w:rPr>
      </w:r>
    </w:p>
    <w:p>
      <w:pPr>
        <w:pStyle w:val="1056"/>
        <w:numPr>
          <w:ilvl w:val="2"/>
          <w:numId w:val="23"/>
        </w:numPr>
        <w:pBdr/>
        <w:tabs>
          <w:tab w:val="clear" w:leader="none" w:pos="720"/>
          <w:tab w:val="left" w:leader="none" w:pos="767"/>
        </w:tabs>
        <w:spacing w:line="276" w:lineRule="auto"/>
        <w:ind w:hanging="199" w:left="766"/>
        <w:jc w:val="both"/>
        <w:rPr>
          <w:rFonts w:ascii="Arial" w:hAnsi="Arial" w:eastAsia="Arial" w:cs="Arial"/>
          <w:b/>
          <w:sz w:val="24"/>
          <w:szCs w:val="24"/>
        </w:rPr>
      </w:pPr>
      <w:r>
        <w:rPr>
          <w:rFonts w:eastAsia="Arial" w:cs="Arial"/>
          <w:b/>
          <w:sz w:val="24"/>
          <w:szCs w:val="24"/>
        </w:rPr>
        <w:t xml:space="preserve">Requisitos Gerais da Solução</w:t>
      </w:r>
      <w:r>
        <w:rPr>
          <w:rFonts w:ascii="Arial" w:hAnsi="Arial" w:eastAsia="Arial" w:cs="Arial"/>
          <w:b/>
          <w:sz w:val="24"/>
          <w:szCs w:val="24"/>
        </w:rPr>
      </w:r>
    </w:p>
    <w:p>
      <w:pPr>
        <w:pStyle w:val="1056"/>
        <w:pBdr/>
        <w:spacing w:line="276" w:lineRule="auto"/>
        <w:ind w:right="582" w:left="137"/>
        <w:rPr>
          <w:sz w:val="24"/>
          <w:szCs w:val="24"/>
        </w:rPr>
      </w:pPr>
      <w:r>
        <w:rPr>
          <w:rFonts w:eastAsia="Arial" w:cs="Arial"/>
          <w:sz w:val="24"/>
          <w:szCs w:val="24"/>
        </w:rPr>
        <w:t xml:space="preserve">a) aderência aos termos do </w:t>
      </w:r>
      <w:r>
        <w:rPr>
          <w:rStyle w:val="1117"/>
          <w:rFonts w:eastAsia="Arial" w:cs="Arial"/>
          <w:b w:val="0"/>
          <w:bCs w:val="0"/>
          <w:sz w:val="24"/>
          <w:szCs w:val="24"/>
        </w:rPr>
        <w:t xml:space="preserve">Termo de Referência da contratação</w:t>
      </w:r>
      <w:r>
        <w:rPr>
          <w:rFonts w:eastAsia="Arial" w:cs="Arial"/>
          <w:sz w:val="24"/>
          <w:szCs w:val="24"/>
        </w:rPr>
        <w:t xml:space="preserve"> e às legislações </w:t>
      </w:r>
      <w:r>
        <w:rPr>
          <w:rStyle w:val="1117"/>
          <w:rFonts w:eastAsia="Arial" w:cs="Arial"/>
          <w:b w:val="0"/>
          <w:bCs w:val="0"/>
          <w:sz w:val="24"/>
          <w:szCs w:val="24"/>
        </w:rPr>
        <w:t xml:space="preserve">federal, estadual, municipal</w:t>
      </w:r>
      <w:r>
        <w:rPr>
          <w:rFonts w:eastAsia="Arial" w:cs="Arial"/>
          <w:sz w:val="24"/>
          <w:szCs w:val="24"/>
        </w:rPr>
        <w:t xml:space="preserve">, bem como às </w:t>
      </w:r>
      <w:r>
        <w:rPr>
          <w:rStyle w:val="1117"/>
          <w:rFonts w:eastAsia="Arial" w:cs="Arial"/>
          <w:b w:val="0"/>
          <w:bCs w:val="0"/>
          <w:sz w:val="24"/>
          <w:szCs w:val="24"/>
        </w:rPr>
        <w:t xml:space="preserve">normatizações vigentes relacionadas à prestação de serviços gráficos</w:t>
      </w:r>
      <w:r>
        <w:rPr>
          <w:rFonts w:eastAsia="Arial" w:cs="Arial"/>
          <w:sz w:val="24"/>
          <w:szCs w:val="24"/>
        </w:rPr>
        <w:t xml:space="preserve">;</w:t>
        <w:br/>
        <w:t xml:space="preserve">b) compromisso com a </w:t>
      </w:r>
      <w:r>
        <w:rPr>
          <w:rStyle w:val="1117"/>
          <w:rFonts w:eastAsia="Arial" w:cs="Arial"/>
          <w:b w:val="0"/>
          <w:bCs w:val="0"/>
          <w:sz w:val="24"/>
          <w:szCs w:val="24"/>
        </w:rPr>
        <w:t xml:space="preserve">redução do impacto ambiental negativo</w:t>
      </w:r>
      <w:r>
        <w:rPr>
          <w:rFonts w:eastAsia="Arial" w:cs="Arial"/>
          <w:sz w:val="24"/>
          <w:szCs w:val="24"/>
        </w:rPr>
        <w:t xml:space="preserve"> e com a </w:t>
      </w:r>
      <w:r>
        <w:rPr>
          <w:rStyle w:val="1117"/>
          <w:rFonts w:eastAsia="Arial" w:cs="Arial"/>
          <w:b w:val="0"/>
          <w:bCs w:val="0"/>
          <w:sz w:val="24"/>
          <w:szCs w:val="24"/>
        </w:rPr>
        <w:t xml:space="preserve">proteção ao meio natural e antrópico</w:t>
      </w:r>
      <w:r>
        <w:rPr>
          <w:rFonts w:eastAsia="Arial" w:cs="Arial"/>
          <w:sz w:val="24"/>
          <w:szCs w:val="24"/>
        </w:rPr>
        <w:t xml:space="preserve">, por meio do uso racional de recursos e da destinação adequada de resíduos;</w:t>
        <w:br/>
        <w:t xml:space="preserve">c) comprometimento com o uso de </w:t>
      </w:r>
      <w:r>
        <w:rPr>
          <w:rStyle w:val="1117"/>
          <w:rFonts w:eastAsia="Arial" w:cs="Arial"/>
          <w:b w:val="0"/>
          <w:bCs w:val="0"/>
          <w:sz w:val="24"/>
          <w:szCs w:val="24"/>
        </w:rPr>
        <w:t xml:space="preserve">produtos certificados</w:t>
      </w:r>
      <w:r>
        <w:rPr>
          <w:rFonts w:eastAsia="Arial" w:cs="Arial"/>
          <w:sz w:val="24"/>
          <w:szCs w:val="24"/>
        </w:rPr>
        <w:t xml:space="preserve">, que </w:t>
      </w:r>
      <w:r>
        <w:rPr>
          <w:rStyle w:val="1117"/>
          <w:rFonts w:eastAsia="Arial" w:cs="Arial"/>
          <w:b w:val="0"/>
          <w:bCs w:val="0"/>
          <w:sz w:val="24"/>
          <w:szCs w:val="24"/>
        </w:rPr>
        <w:t xml:space="preserve">não contenham substâncias agressivas ou prejudiciais</w:t>
      </w:r>
      <w:r>
        <w:rPr>
          <w:rFonts w:eastAsia="Arial" w:cs="Arial"/>
          <w:sz w:val="24"/>
          <w:szCs w:val="24"/>
        </w:rPr>
        <w:t xml:space="preserve"> à saúde humana, à fauna, à flora ou ao patrimônio público;</w:t>
        <w:br/>
        <w:t xml:space="preserve">d) aderência às </w:t>
      </w:r>
      <w:r>
        <w:rPr>
          <w:rStyle w:val="1117"/>
          <w:rFonts w:eastAsia="Arial" w:cs="Arial"/>
          <w:b w:val="0"/>
          <w:bCs w:val="0"/>
          <w:sz w:val="24"/>
          <w:szCs w:val="24"/>
        </w:rPr>
        <w:t xml:space="preserve">normas técnicas aplicáveis</w:t>
      </w:r>
      <w:r>
        <w:rPr>
          <w:rFonts w:eastAsia="Arial" w:cs="Arial"/>
          <w:sz w:val="24"/>
          <w:szCs w:val="24"/>
        </w:rPr>
        <w:t xml:space="preserve">, em especial às relacionadas à </w:t>
      </w:r>
      <w:r>
        <w:rPr>
          <w:rStyle w:val="1117"/>
          <w:rFonts w:eastAsia="Arial" w:cs="Arial"/>
          <w:b w:val="0"/>
          <w:bCs w:val="0"/>
          <w:sz w:val="24"/>
          <w:szCs w:val="24"/>
        </w:rPr>
        <w:t xml:space="preserve">saúde ocupacional e segurança do trabalho</w:t>
      </w:r>
      <w:r>
        <w:rPr>
          <w:rFonts w:eastAsia="Arial" w:cs="Arial"/>
          <w:sz w:val="24"/>
          <w:szCs w:val="24"/>
        </w:rPr>
        <w:t xml:space="preserve">, conforme regulamentações da ABNT e demais órgãos competentes;</w:t>
        <w:br/>
        <w:t xml:space="preserve">e) compromisso com o </w:t>
      </w:r>
      <w:r>
        <w:rPr>
          <w:rStyle w:val="1117"/>
          <w:rFonts w:eastAsia="Arial" w:cs="Arial"/>
          <w:b w:val="0"/>
          <w:bCs w:val="0"/>
          <w:sz w:val="24"/>
          <w:szCs w:val="24"/>
        </w:rPr>
        <w:t xml:space="preserve">bem-estar, progresso profissional e pessoal de seus colaboradores</w:t>
      </w:r>
      <w:r>
        <w:rPr>
          <w:rFonts w:eastAsia="Arial" w:cs="Arial"/>
          <w:sz w:val="24"/>
          <w:szCs w:val="24"/>
        </w:rPr>
        <w:t xml:space="preserve">, por meio de práticas justas de gestão de pessoas e valorização do capital humano;</w:t>
        <w:br/>
        <w:t xml:space="preserve">f) </w:t>
      </w:r>
      <w:r>
        <w:rPr>
          <w:rStyle w:val="1117"/>
          <w:rFonts w:eastAsia="Arial" w:cs="Arial"/>
          <w:b w:val="0"/>
          <w:bCs w:val="0"/>
          <w:sz w:val="24"/>
          <w:szCs w:val="24"/>
        </w:rPr>
        <w:t xml:space="preserve">combate ao trabalho infantil ilegal</w:t>
      </w:r>
      <w:r>
        <w:rPr>
          <w:rFonts w:eastAsia="Arial" w:cs="Arial"/>
          <w:sz w:val="24"/>
          <w:szCs w:val="24"/>
        </w:rPr>
        <w:t xml:space="preserve"> e ao </w:t>
      </w:r>
      <w:r>
        <w:rPr>
          <w:rStyle w:val="1117"/>
          <w:rFonts w:eastAsia="Arial" w:cs="Arial"/>
          <w:b w:val="0"/>
          <w:bCs w:val="0"/>
          <w:sz w:val="24"/>
          <w:szCs w:val="24"/>
        </w:rPr>
        <w:t xml:space="preserve">trabalho escravo ou análogo à escravidão</w:t>
      </w:r>
      <w:r>
        <w:rPr>
          <w:rFonts w:eastAsia="Arial" w:cs="Arial"/>
          <w:sz w:val="24"/>
          <w:szCs w:val="24"/>
        </w:rPr>
        <w:t xml:space="preserve">, com comprovação de conformidade em suas cadeias produtivas;</w:t>
        <w:br/>
        <w:t xml:space="preserve">g) adoção de critérios contratuais que </w:t>
      </w:r>
      <w:r>
        <w:rPr>
          <w:rStyle w:val="1117"/>
          <w:rFonts w:eastAsia="Arial" w:cs="Arial"/>
          <w:b w:val="0"/>
          <w:bCs w:val="0"/>
          <w:sz w:val="24"/>
          <w:szCs w:val="24"/>
        </w:rPr>
        <w:t xml:space="preserve">não limitem a competitividade</w:t>
      </w:r>
      <w:r>
        <w:rPr>
          <w:rFonts w:eastAsia="Arial" w:cs="Arial"/>
          <w:sz w:val="24"/>
          <w:szCs w:val="24"/>
        </w:rPr>
        <w:t xml:space="preserve"> do certame nem resultem em dependência técnica ou operacional da Unidade Requisitante em relação à empresa contratada;</w:t>
        <w:br/>
        <w:t xml:space="preserve">h) garantia da </w:t>
      </w:r>
      <w:r>
        <w:rPr>
          <w:rStyle w:val="1117"/>
          <w:rFonts w:eastAsia="Arial" w:cs="Arial"/>
          <w:b w:val="0"/>
          <w:bCs w:val="0"/>
          <w:sz w:val="24"/>
          <w:szCs w:val="24"/>
        </w:rPr>
        <w:t xml:space="preserve">prevalência dos princípios</w:t>
      </w:r>
      <w:r>
        <w:rPr>
          <w:rFonts w:eastAsia="Arial" w:cs="Arial"/>
          <w:sz w:val="24"/>
          <w:szCs w:val="24"/>
        </w:rPr>
        <w:t xml:space="preserve"> de </w:t>
      </w:r>
      <w:r>
        <w:rPr>
          <w:rStyle w:val="1117"/>
          <w:rFonts w:eastAsia="Arial" w:cs="Arial"/>
          <w:b w:val="0"/>
          <w:bCs w:val="0"/>
          <w:sz w:val="24"/>
          <w:szCs w:val="24"/>
        </w:rPr>
        <w:t xml:space="preserve">legalidade, impessoalidade, moralidade, isonomia, publicidade, probidade administrativa, julgamento objetivo</w:t>
      </w:r>
      <w:r>
        <w:rPr>
          <w:rFonts w:eastAsia="Arial" w:cs="Arial"/>
          <w:sz w:val="24"/>
          <w:szCs w:val="24"/>
        </w:rPr>
        <w:t xml:space="preserve"> e </w:t>
      </w:r>
      <w:r>
        <w:rPr>
          <w:rStyle w:val="1117"/>
          <w:rFonts w:eastAsia="Arial" w:cs="Arial"/>
          <w:b w:val="0"/>
          <w:bCs w:val="0"/>
          <w:sz w:val="24"/>
          <w:szCs w:val="24"/>
        </w:rPr>
        <w:t xml:space="preserve">vinculação ao instrumento convocatório</w:t>
      </w:r>
      <w:r>
        <w:rPr>
          <w:rFonts w:eastAsia="Arial" w:cs="Arial"/>
          <w:sz w:val="24"/>
          <w:szCs w:val="24"/>
        </w:rPr>
        <w:t xml:space="preserve"> durante todo o processo licitatório. </w:t>
      </w:r>
      <w:r>
        <w:rPr>
          <w:sz w:val="24"/>
          <w:szCs w:val="24"/>
        </w:rPr>
      </w:r>
    </w:p>
    <w:p>
      <w:pPr>
        <w:pStyle w:val="1210"/>
        <w:widowControl w:val="false"/>
        <w:pBdr/>
        <w:tabs>
          <w:tab w:val="left" w:leader="none" w:pos="165"/>
          <w:tab w:val="clear" w:leader="none" w:pos="720"/>
        </w:tabs>
        <w:spacing w:line="276" w:lineRule="auto"/>
        <w:ind w:left="0"/>
        <w:jc w:val="both"/>
        <w:rPr>
          <w:rFonts w:ascii="Arial" w:hAnsi="Arial" w:cs="Arial"/>
          <w:bCs/>
          <w:sz w:val="24"/>
          <w:szCs w:val="24"/>
        </w:rPr>
      </w:pPr>
      <w:r>
        <w:rPr>
          <w:rFonts w:cs="Arial"/>
          <w:bCs/>
          <w:sz w:val="24"/>
          <w:szCs w:val="24"/>
        </w:rPr>
      </w:r>
      <w:r>
        <w:rPr>
          <w:rFonts w:ascii="Arial" w:hAnsi="Arial" w:cs="Arial"/>
          <w:bCs/>
          <w:sz w:val="24"/>
          <w:szCs w:val="24"/>
        </w:rPr>
      </w:r>
    </w:p>
    <w:p>
      <w:pPr>
        <w:pStyle w:val="1210"/>
        <w:numPr>
          <w:ilvl w:val="0"/>
          <w:numId w:val="20"/>
        </w:numPr>
        <w:pBdr/>
        <w:spacing w:line="360" w:lineRule="auto"/>
        <w:ind/>
        <w:jc w:val="both"/>
        <w:rPr>
          <w:rFonts w:ascii="Arial" w:hAnsi="Arial" w:cs="Arial"/>
          <w:b/>
          <w:color w:val="000000"/>
          <w:sz w:val="24"/>
          <w:szCs w:val="24"/>
        </w:rPr>
      </w:pPr>
      <w:r>
        <w:rPr>
          <w:rFonts w:cs="Arial"/>
          <w:b/>
          <w:sz w:val="24"/>
          <w:szCs w:val="24"/>
        </w:rPr>
        <w:t xml:space="preserve">I</w:t>
      </w:r>
      <w:r>
        <w:rPr>
          <w:rFonts w:cs="Arial"/>
          <w:b/>
          <w:color w:val="000000"/>
          <w:sz w:val="24"/>
          <w:szCs w:val="24"/>
        </w:rPr>
        <w:t xml:space="preserve">NDICAÇÃO DOS LOCAIS DE ENTREGA/EXECUÇÃO DOS PRODUTOS </w:t>
      </w:r>
      <w:r>
        <w:rPr>
          <w:rFonts w:cs="Arial"/>
          <w:color w:val="000000"/>
          <w:sz w:val="24"/>
          <w:szCs w:val="24"/>
        </w:rPr>
        <w:t xml:space="preserve">(</w:t>
      </w:r>
      <w:r>
        <w:rPr>
          <w:rFonts w:cs="Arial"/>
          <w:color w:val="000000"/>
          <w:sz w:val="24"/>
          <w:szCs w:val="24"/>
          <w:lang w:val="en-US"/>
        </w:rPr>
        <w:t xml:space="preserve">ART. 40, §1º, II DA LEI 14.133/21)</w:t>
      </w:r>
      <w:r>
        <w:rPr>
          <w:rFonts w:cs="Arial"/>
          <w:color w:val="000000"/>
          <w:sz w:val="24"/>
          <w:szCs w:val="24"/>
        </w:rPr>
        <w:t xml:space="preserve">.</w:t>
      </w:r>
      <w:r>
        <w:rPr>
          <w:rFonts w:ascii="Arial" w:hAnsi="Arial" w:cs="Arial"/>
          <w:b/>
          <w:color w:val="000000"/>
          <w:sz w:val="24"/>
          <w:szCs w:val="24"/>
        </w:rPr>
      </w:r>
    </w:p>
    <w:p>
      <w:pPr>
        <w:pStyle w:val="1208"/>
        <w:numPr>
          <w:ilvl w:val="1"/>
          <w:numId w:val="21"/>
        </w:numPr>
        <w:pBdr/>
        <w:spacing w:line="276" w:lineRule="auto"/>
        <w:ind/>
        <w:jc w:val="both"/>
        <w:rPr>
          <w:rStyle w:val="1117"/>
          <w:rFonts w:ascii="Arial" w:hAnsi="Arial" w:cs="Arial"/>
          <w:b w:val="0"/>
          <w:bCs w:val="0"/>
          <w:color w:val="000000"/>
          <w:sz w:val="24"/>
          <w:szCs w:val="24"/>
        </w:rPr>
      </w:pPr>
      <w:r>
        <w:rPr>
          <w:rFonts w:cs="Arial"/>
          <w:color w:val="000000"/>
          <w:sz w:val="24"/>
          <w:szCs w:val="24"/>
        </w:rPr>
        <w:t xml:space="preserve">. O objeto deverá ser entregue/executado em conformidade com o exigido neste Termo de Referência, no prazo máximo de 30 (trinta) dias, a contar do recebimento da Solicitação de fornecimento e sua respectiva Nota de Empenho, no local</w:t>
      </w:r>
      <w:r>
        <w:rPr>
          <w:rFonts w:cs="Arial"/>
          <w:color w:val="000000"/>
          <w:sz w:val="24"/>
          <w:szCs w:val="24"/>
        </w:rPr>
        <w:t xml:space="preserve"> e horário, designados pela SECRETARIA MUNICIPAL DE GOVERNO, exceto nos feriados do Município de Rio das Flôres, do Estado do Rio de Janeiro e Nacional, obedecendo rigorosamente as quantidades e prazos constantes na Nota de Empenho ou em instrumento hábil.</w:t>
      </w:r>
      <w:r>
        <w:rPr>
          <w:rStyle w:val="1117"/>
          <w:rFonts w:ascii="Arial" w:hAnsi="Arial" w:cs="Arial"/>
          <w:b w:val="0"/>
          <w:bCs w:val="0"/>
          <w:color w:val="000000"/>
          <w:sz w:val="24"/>
          <w:szCs w:val="24"/>
        </w:rPr>
      </w:r>
    </w:p>
    <w:p>
      <w:pPr>
        <w:pStyle w:val="1210"/>
        <w:numPr>
          <w:ilvl w:val="0"/>
          <w:numId w:val="20"/>
        </w:numPr>
        <w:pBdr/>
        <w:spacing w:line="360" w:lineRule="auto"/>
        <w:ind/>
        <w:jc w:val="both"/>
        <w:rPr>
          <w:color w:val="000000"/>
          <w:sz w:val="24"/>
          <w:szCs w:val="24"/>
        </w:rPr>
      </w:pPr>
      <w:r>
        <w:rPr>
          <w:rFonts w:cs="Arial"/>
          <w:b/>
          <w:color w:val="000000"/>
          <w:sz w:val="24"/>
          <w:szCs w:val="24"/>
        </w:rPr>
        <w:t xml:space="preserve">DAS REGRAS PARA RECEBIMENTOS PROVISÓRIO E DEFINITIVO, QUANDO FOR O CASO</w:t>
      </w:r>
      <w:r>
        <w:rPr>
          <w:rFonts w:cs="Arial"/>
          <w:color w:val="000000"/>
          <w:sz w:val="24"/>
          <w:szCs w:val="24"/>
        </w:rPr>
        <w:t xml:space="preserve"> (</w:t>
      </w:r>
      <w:r>
        <w:rPr>
          <w:rFonts w:cs="Arial"/>
          <w:color w:val="000000"/>
          <w:sz w:val="24"/>
          <w:szCs w:val="24"/>
          <w:lang w:val="en-US"/>
        </w:rPr>
        <w:t xml:space="preserve">ART. 40, §1º, II DA LEI 14.133/21)</w:t>
      </w:r>
      <w:r>
        <w:rPr>
          <w:color w:val="000000"/>
          <w:sz w:val="24"/>
          <w:szCs w:val="24"/>
        </w:rPr>
      </w:r>
    </w:p>
    <w:p>
      <w:pPr>
        <w:pStyle w:val="1210"/>
        <w:pBdr/>
        <w:spacing w:line="360" w:lineRule="auto"/>
        <w:ind w:left="390"/>
        <w:jc w:val="both"/>
        <w:rPr>
          <w:rFonts w:ascii="Arial" w:hAnsi="Arial" w:cs="Arial"/>
          <w:b/>
          <w:color w:val="000000"/>
          <w:sz w:val="24"/>
          <w:szCs w:val="24"/>
        </w:rPr>
      </w:pPr>
      <w:r>
        <w:rPr>
          <w:rFonts w:cs="Arial"/>
          <w:b/>
          <w:color w:val="000000"/>
          <w:sz w:val="24"/>
          <w:szCs w:val="24"/>
        </w:rPr>
      </w:r>
      <w:r>
        <w:rPr>
          <w:rFonts w:ascii="Arial" w:hAnsi="Arial" w:cs="Arial"/>
          <w:b/>
          <w:color w:val="000000"/>
          <w:sz w:val="24"/>
          <w:szCs w:val="24"/>
        </w:rPr>
      </w:r>
    </w:p>
    <w:p>
      <w:pPr>
        <w:pStyle w:val="1210"/>
        <w:numPr>
          <w:ilvl w:val="1"/>
          <w:numId w:val="20"/>
        </w:numPr>
        <w:pBdr/>
        <w:spacing w:line="276" w:lineRule="auto"/>
        <w:ind/>
        <w:jc w:val="both"/>
        <w:rPr>
          <w:sz w:val="24"/>
          <w:szCs w:val="24"/>
        </w:rPr>
      </w:pPr>
      <w:r>
        <w:rPr>
          <w:rFonts w:cs="Arial"/>
          <w:color w:val="000000"/>
          <w:sz w:val="24"/>
          <w:szCs w:val="24"/>
        </w:rPr>
        <w:t xml:space="preserve">Em se tratando de </w:t>
      </w:r>
      <w:r>
        <w:rPr>
          <w:rFonts w:cs="Arial"/>
          <w:b/>
          <w:color w:val="000000"/>
          <w:sz w:val="24"/>
          <w:szCs w:val="24"/>
        </w:rPr>
        <w:t xml:space="preserve">compras ou de locação de equipamentos (art. 140, inciso I, alíneas “a” e “b”, Lei Federal 14.133/2021):</w:t>
      </w:r>
      <w:r>
        <w:rPr>
          <w:sz w:val="24"/>
          <w:szCs w:val="24"/>
        </w:rPr>
      </w:r>
    </w:p>
    <w:p>
      <w:pPr>
        <w:pStyle w:val="1210"/>
        <w:numPr>
          <w:ilvl w:val="2"/>
          <w:numId w:val="20"/>
        </w:numPr>
        <w:pBdr/>
        <w:spacing w:line="276" w:lineRule="auto"/>
        <w:ind/>
        <w:jc w:val="both"/>
        <w:rPr>
          <w:sz w:val="24"/>
          <w:szCs w:val="24"/>
        </w:rPr>
      </w:pPr>
      <w:r>
        <w:rPr>
          <w:rFonts w:cs="Arial"/>
          <w:b/>
          <w:color w:val="000000"/>
          <w:sz w:val="24"/>
          <w:szCs w:val="24"/>
        </w:rPr>
        <w:t xml:space="preserve">PROVISORIAMENTE</w:t>
      </w:r>
      <w:r>
        <w:rPr>
          <w:rFonts w:cs="Arial"/>
          <w:color w:val="000000"/>
          <w:sz w:val="24"/>
          <w:szCs w:val="24"/>
        </w:rPr>
        <w:t xml:space="preserve">, pelo responsável por seu acompanhamento e fiscalização, mediante termo detalhado, quando verificado o cumprimento das exigências de caráter técnico;</w:t>
      </w:r>
      <w:r>
        <w:rPr>
          <w:sz w:val="24"/>
          <w:szCs w:val="24"/>
        </w:rPr>
      </w:r>
    </w:p>
    <w:p>
      <w:pPr>
        <w:pStyle w:val="1210"/>
        <w:pBdr/>
        <w:spacing w:line="276" w:lineRule="auto"/>
        <w:ind w:left="1146"/>
        <w:jc w:val="both"/>
        <w:rPr>
          <w:rFonts w:ascii="Arial" w:hAnsi="Arial" w:cs="Arial"/>
          <w:b/>
          <w:color w:val="000000"/>
          <w:sz w:val="24"/>
          <w:szCs w:val="24"/>
        </w:rPr>
      </w:pPr>
      <w:r>
        <w:rPr>
          <w:rFonts w:cs="Arial"/>
          <w:b/>
          <w:color w:val="000000"/>
          <w:sz w:val="24"/>
          <w:szCs w:val="24"/>
        </w:rPr>
      </w:r>
      <w:r>
        <w:rPr>
          <w:rFonts w:ascii="Arial" w:hAnsi="Arial" w:cs="Arial"/>
          <w:b/>
          <w:color w:val="000000"/>
          <w:sz w:val="24"/>
          <w:szCs w:val="24"/>
        </w:rPr>
      </w:r>
    </w:p>
    <w:p>
      <w:pPr>
        <w:pStyle w:val="1210"/>
        <w:numPr>
          <w:ilvl w:val="2"/>
          <w:numId w:val="20"/>
        </w:numPr>
        <w:pBdr/>
        <w:spacing w:line="276" w:lineRule="auto"/>
        <w:ind/>
        <w:jc w:val="both"/>
        <w:rPr>
          <w:sz w:val="24"/>
          <w:szCs w:val="24"/>
        </w:rPr>
      </w:pPr>
      <w:r>
        <w:rPr>
          <w:rFonts w:cs="Arial"/>
          <w:b/>
          <w:color w:val="000000"/>
          <w:sz w:val="24"/>
          <w:szCs w:val="24"/>
        </w:rPr>
        <w:t xml:space="preserve">DEFINITIVAMENTE,</w:t>
      </w:r>
      <w:r>
        <w:rPr>
          <w:rFonts w:cs="Arial"/>
          <w:color w:val="000000"/>
          <w:sz w:val="24"/>
          <w:szCs w:val="24"/>
        </w:rPr>
        <w:t xml:space="preserve"> por servidor ou comissão designada pela autoridade competente, mediante termo detalhado que comprove o atendimento das exigências contratuais.</w:t>
      </w:r>
      <w:r>
        <w:rPr>
          <w:sz w:val="24"/>
          <w:szCs w:val="24"/>
        </w:rPr>
      </w:r>
    </w:p>
    <w:p>
      <w:pPr>
        <w:pStyle w:val="1210"/>
        <w:pBdr/>
        <w:spacing w:line="360" w:lineRule="auto"/>
        <w:ind w:left="1146"/>
        <w:jc w:val="both"/>
        <w:rPr>
          <w:rFonts w:ascii="Arial" w:hAnsi="Arial" w:cs="Arial"/>
          <w:b/>
          <w:color w:val="000000"/>
          <w:sz w:val="24"/>
          <w:szCs w:val="24"/>
        </w:rPr>
      </w:pPr>
      <w:r>
        <w:rPr>
          <w:rFonts w:cs="Arial"/>
          <w:b/>
          <w:color w:val="000000"/>
          <w:sz w:val="24"/>
          <w:szCs w:val="24"/>
        </w:rPr>
      </w:r>
      <w:r>
        <w:rPr>
          <w:rFonts w:ascii="Arial" w:hAnsi="Arial" w:cs="Arial"/>
          <w:b/>
          <w:color w:val="000000"/>
          <w:sz w:val="24"/>
          <w:szCs w:val="24"/>
        </w:rPr>
      </w:r>
    </w:p>
    <w:p>
      <w:pPr>
        <w:pStyle w:val="1056"/>
        <w:pBdr/>
        <w:spacing w:line="276" w:lineRule="auto"/>
        <w:ind w:left="426"/>
        <w:jc w:val="both"/>
        <w:rPr>
          <w:color w:val="000000"/>
          <w:sz w:val="24"/>
          <w:szCs w:val="24"/>
        </w:rPr>
      </w:pPr>
      <w:r>
        <w:rPr>
          <w:rFonts w:cs="Arial"/>
          <w:b/>
          <w:color w:val="000000"/>
          <w:sz w:val="24"/>
          <w:szCs w:val="24"/>
        </w:rPr>
        <w:t xml:space="preserve">Obs¹</w:t>
      </w:r>
      <w:r>
        <w:rPr>
          <w:rFonts w:cs="Arial"/>
          <w:color w:val="000000"/>
          <w:sz w:val="24"/>
          <w:szCs w:val="24"/>
        </w:rPr>
        <w:t xml:space="preserve">:  O</w:t>
      </w:r>
      <w:r>
        <w:rPr>
          <w:rFonts w:cs="Arial"/>
          <w:color w:val="000000"/>
          <w:sz w:val="24"/>
          <w:szCs w:val="24"/>
        </w:rPr>
        <w:t xml:space="preserve"> recebimento provisório ou definitivo não excluirá a responsabilidade civil pela solidez e pela segurança da obra ou serviço nem a responsabilidade ético-profissional pela perfeita execução do contrato, nos limites estabelecidos pela lei ou pelo contrato (</w:t>
      </w:r>
      <w:r>
        <w:rPr>
          <w:rFonts w:cs="Arial"/>
          <w:b/>
          <w:color w:val="000000"/>
          <w:sz w:val="24"/>
          <w:szCs w:val="24"/>
        </w:rPr>
        <w:t xml:space="preserve">art. 140, inciso I, § 2º, Lei Federal 14.133/2021)</w:t>
      </w:r>
      <w:r>
        <w:rPr>
          <w:color w:val="000000"/>
          <w:sz w:val="24"/>
          <w:szCs w:val="24"/>
        </w:rPr>
      </w:r>
    </w:p>
    <w:p>
      <w:pPr>
        <w:pStyle w:val="1056"/>
        <w:pBdr/>
        <w:spacing w:line="360" w:lineRule="auto"/>
        <w:ind w:left="426"/>
        <w:jc w:val="both"/>
        <w:rPr>
          <w:rFonts w:ascii="Arial" w:hAnsi="Arial" w:cs="Arial"/>
          <w:b/>
          <w:color w:val="000000"/>
          <w:sz w:val="24"/>
          <w:szCs w:val="24"/>
        </w:rPr>
      </w:pPr>
      <w:r>
        <w:rPr>
          <w:rFonts w:cs="Arial"/>
          <w:b/>
          <w:color w:val="000000"/>
          <w:sz w:val="24"/>
          <w:szCs w:val="24"/>
        </w:rPr>
      </w:r>
      <w:r>
        <w:rPr>
          <w:rFonts w:ascii="Arial" w:hAnsi="Arial" w:cs="Arial"/>
          <w:b/>
          <w:color w:val="000000"/>
          <w:sz w:val="24"/>
          <w:szCs w:val="24"/>
        </w:rPr>
      </w:r>
    </w:p>
    <w:p>
      <w:pPr>
        <w:pStyle w:val="1210"/>
        <w:numPr>
          <w:ilvl w:val="0"/>
          <w:numId w:val="20"/>
        </w:numPr>
        <w:pBdr/>
        <w:spacing w:line="360" w:lineRule="auto"/>
        <w:ind/>
        <w:jc w:val="both"/>
        <w:rPr>
          <w:color w:val="000000"/>
          <w:sz w:val="24"/>
          <w:szCs w:val="24"/>
        </w:rPr>
      </w:pPr>
      <w:r>
        <w:rPr>
          <w:rFonts w:cs="Arial"/>
          <w:b/>
          <w:color w:val="000000"/>
          <w:sz w:val="24"/>
          <w:szCs w:val="24"/>
        </w:rPr>
        <w:t xml:space="preserve">DOS REQUISITOS DA CONTRATAÇÃO </w:t>
      </w:r>
      <w:r>
        <w:rPr>
          <w:rFonts w:cs="Arial"/>
          <w:color w:val="000000"/>
          <w:sz w:val="24"/>
          <w:szCs w:val="24"/>
        </w:rPr>
        <w:t xml:space="preserve">(</w:t>
      </w:r>
      <w:r>
        <w:rPr>
          <w:rFonts w:cs="Arial"/>
          <w:color w:val="000000"/>
          <w:sz w:val="24"/>
          <w:szCs w:val="24"/>
          <w:lang w:val="en-US"/>
        </w:rPr>
        <w:t xml:space="preserve">Art. 6º, XXIII, “d” da Lei 14.133/21)</w:t>
      </w:r>
      <w:r>
        <w:rPr>
          <w:color w:val="000000"/>
          <w:sz w:val="24"/>
          <w:szCs w:val="24"/>
        </w:rPr>
      </w:r>
    </w:p>
    <w:p>
      <w:pPr>
        <w:pStyle w:val="1210"/>
        <w:numPr>
          <w:ilvl w:val="1"/>
          <w:numId w:val="20"/>
        </w:numPr>
        <w:pBdr/>
        <w:spacing w:line="360" w:lineRule="auto"/>
        <w:ind/>
        <w:jc w:val="both"/>
        <w:rPr>
          <w:color w:val="000000"/>
          <w:sz w:val="24"/>
          <w:szCs w:val="24"/>
        </w:rPr>
      </w:pPr>
      <w:r>
        <w:rPr>
          <w:rFonts w:cs="Arial"/>
          <w:b/>
          <w:color w:val="000000"/>
          <w:sz w:val="24"/>
          <w:szCs w:val="24"/>
        </w:rPr>
        <w:t xml:space="preserve">DAS OBRIGAÇÕES DA CONTRATADA VENCEDORA</w:t>
      </w:r>
      <w:r>
        <w:rPr>
          <w:color w:val="000000"/>
          <w:sz w:val="24"/>
          <w:szCs w:val="24"/>
        </w:rPr>
      </w:r>
    </w:p>
    <w:p>
      <w:pPr>
        <w:pStyle w:val="1060"/>
        <w:pBdr/>
        <w:spacing/>
        <w:ind/>
        <w:rPr>
          <w:rFonts w:ascii="Arial" w:hAnsi="Arial" w:cs="Arial"/>
          <w:sz w:val="24"/>
          <w:szCs w:val="24"/>
        </w:rPr>
      </w:pPr>
      <w:r>
        <w:rPr>
          <w:rFonts w:ascii="Arial" w:hAnsi="Arial" w:cs="Arial"/>
          <w:color w:val="000000"/>
          <w:sz w:val="24"/>
          <w:szCs w:val="24"/>
        </w:rPr>
        <w:t xml:space="preserve">6.1. DAS OBRIGAÇÕES DA CONTRATADA VENCEDORA</w:t>
      </w:r>
      <w:r>
        <w:rPr>
          <w:rFonts w:ascii="Arial" w:hAnsi="Arial" w:cs="Arial"/>
          <w:sz w:val="24"/>
          <w:szCs w:val="24"/>
        </w:rPr>
      </w:r>
    </w:p>
    <w:p>
      <w:pPr>
        <w:pStyle w:val="1056"/>
        <w:pBdr/>
        <w:spacing/>
        <w:ind/>
        <w:rPr>
          <w:rFonts w:ascii="Arial" w:hAnsi="Arial" w:eastAsia="Arial" w:cs="Arial"/>
          <w:color w:val="000000"/>
          <w:sz w:val="24"/>
          <w:szCs w:val="24"/>
        </w:rPr>
      </w:pPr>
      <w:r>
        <w:rPr>
          <w:rFonts w:eastAsia="Arial" w:cs="Arial"/>
          <w:color w:val="000000"/>
          <w:sz w:val="24"/>
          <w:szCs w:val="24"/>
        </w:rPr>
        <w:t xml:space="preserve">A contratada deve</w:t>
      </w:r>
      <w:r>
        <w:rPr>
          <w:rFonts w:eastAsia="Arial" w:cs="Arial"/>
          <w:color w:val="000000"/>
          <w:sz w:val="24"/>
          <w:szCs w:val="24"/>
        </w:rPr>
        <w:t xml:space="preserve">rá cumprir todas as obrigações descritas neste Termo de Referência, seus anexos e na proposta apresentada, assumindo integralmente os riscos e as despesas decorrentes da adequada execução do objeto. Além das obrigações gerais, a contratada deverá observar:</w:t>
      </w:r>
      <w:r>
        <w:rPr>
          <w:rFonts w:ascii="Arial" w:hAnsi="Arial" w:eastAsia="Arial" w:cs="Arial"/>
          <w:color w:val="000000"/>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eastAsia="Arial" w:cs="Arial"/>
          <w:color w:val="000000"/>
          <w:sz w:val="24"/>
          <w:szCs w:val="24"/>
        </w:rPr>
      </w:pPr>
      <w:r>
        <w:rPr>
          <w:rFonts w:eastAsia="Arial" w:cs="Arial"/>
          <w:b/>
          <w:bCs/>
          <w:color w:val="000000"/>
          <w:sz w:val="24"/>
          <w:szCs w:val="24"/>
        </w:rPr>
        <w:t xml:space="preserve">6.1.1.</w:t>
      </w:r>
      <w:r>
        <w:rPr>
          <w:rFonts w:eastAsia="Arial" w:cs="Arial"/>
          <w:color w:val="000000"/>
          <w:sz w:val="24"/>
          <w:szCs w:val="24"/>
        </w:rPr>
        <w:t xml:space="preserve"> Executar os serviços de controle de vetor</w:t>
      </w:r>
      <w:r>
        <w:rPr>
          <w:rFonts w:eastAsia="Arial" w:cs="Arial"/>
          <w:color w:val="000000"/>
          <w:sz w:val="24"/>
          <w:szCs w:val="24"/>
        </w:rPr>
        <w:t xml:space="preserve">es e pragas urbanas com base no conceito de Manejo Integrado de Pragas (MIP), utilizando metodologias químicas, físicas, mecânicas e informativas, de forma racional, eficaz e ambientalmente segura, minimizando os impactos à saúde humana e ao meio ambiente.</w:t>
      </w:r>
      <w:r>
        <w:rPr>
          <w:rFonts w:ascii="Arial" w:hAnsi="Arial" w:eastAsia="Arial" w:cs="Arial"/>
          <w:color w:val="000000"/>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eastAsia="Arial" w:cs="Arial"/>
          <w:color w:val="000000"/>
          <w:sz w:val="24"/>
          <w:szCs w:val="24"/>
        </w:rPr>
      </w:pPr>
      <w:r>
        <w:rPr>
          <w:rFonts w:eastAsia="Arial" w:cs="Arial"/>
          <w:b/>
          <w:bCs/>
          <w:color w:val="000000"/>
          <w:sz w:val="24"/>
          <w:szCs w:val="24"/>
        </w:rPr>
        <w:t xml:space="preserve">6.1.2.</w:t>
      </w:r>
      <w:r>
        <w:rPr>
          <w:rFonts w:eastAsia="Arial" w:cs="Arial"/>
          <w:color w:val="000000"/>
          <w:sz w:val="24"/>
          <w:szCs w:val="24"/>
        </w:rPr>
        <w:t xml:space="preserve"> Realizar o controle mensal de baratas, formigas, roedores e mosquitos, conforme periodicidade previs</w:t>
      </w:r>
      <w:r>
        <w:rPr>
          <w:rFonts w:eastAsia="Arial" w:cs="Arial"/>
          <w:color w:val="000000"/>
          <w:sz w:val="24"/>
          <w:szCs w:val="24"/>
        </w:rPr>
        <w:t xml:space="preserve">ta na Lei Estadual nº 7.806/2017, Art. 6º, § 2º, sendo que o controle de cupins, pulgas, carrapatos e demais pragas deverá ser executado sob demanda, mediante solicitação da Contratante, com a mesma qualidade e critérios técnicos estabelecidos neste Termo.</w:t>
      </w:r>
      <w:r>
        <w:rPr>
          <w:rFonts w:ascii="Arial" w:hAnsi="Arial" w:eastAsia="Arial" w:cs="Arial"/>
          <w:color w:val="000000"/>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eastAsia="Arial" w:cs="Arial"/>
          <w:color w:val="000000"/>
          <w:sz w:val="24"/>
          <w:szCs w:val="24"/>
        </w:rPr>
      </w:pPr>
      <w:r>
        <w:rPr>
          <w:rFonts w:eastAsia="Arial" w:cs="Arial"/>
          <w:b/>
          <w:bCs/>
          <w:color w:val="000000"/>
          <w:sz w:val="24"/>
          <w:szCs w:val="24"/>
        </w:rPr>
        <w:t xml:space="preserve">6.1.3. </w:t>
      </w:r>
      <w:r>
        <w:rPr>
          <w:rFonts w:eastAsia="Arial" w:cs="Arial"/>
          <w:color w:val="000000"/>
          <w:sz w:val="24"/>
          <w:szCs w:val="24"/>
        </w:rPr>
        <w:t xml:space="preserve">Fornecer, instalar e substituir, sempre</w:t>
      </w:r>
      <w:r>
        <w:rPr>
          <w:rFonts w:eastAsia="Arial" w:cs="Arial"/>
          <w:color w:val="000000"/>
          <w:sz w:val="24"/>
          <w:szCs w:val="24"/>
        </w:rPr>
        <w:t xml:space="preserve"> que necessário, dispositivos de controle como caixas porta-iscas e demais equipamentos utilizados na desratização, garantindo cobertura em áreas internas e externas, conforme o tipo de roedor identificado (Rattus norvegicus, Rattus rattus e Mus musculus).</w:t>
      </w:r>
      <w:r>
        <w:rPr>
          <w:rFonts w:ascii="Arial" w:hAnsi="Arial" w:eastAsia="Arial" w:cs="Arial"/>
          <w:color w:val="000000"/>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eastAsia="Arial" w:cs="Arial"/>
          <w:color w:val="000000"/>
          <w:sz w:val="24"/>
          <w:szCs w:val="24"/>
        </w:rPr>
      </w:pPr>
      <w:r>
        <w:rPr>
          <w:rFonts w:eastAsia="Arial" w:cs="Arial"/>
          <w:b/>
          <w:bCs/>
          <w:color w:val="000000"/>
          <w:sz w:val="24"/>
          <w:szCs w:val="24"/>
        </w:rPr>
        <w:t xml:space="preserve">6.1.4.</w:t>
      </w:r>
      <w:r>
        <w:rPr>
          <w:rFonts w:eastAsia="Arial" w:cs="Arial"/>
          <w:color w:val="000000"/>
          <w:sz w:val="24"/>
          <w:szCs w:val="24"/>
        </w:rPr>
        <w:t xml:space="preserve"> Aplicar produtos aprovados pela ANVISA e Ministério da Saúde, apresentando previamente à execução a relação detalhada com o nome comercial, princípio ativo, metodologia de aplicação, antídoto e número de registro dos produtos que serão utilizados.</w:t>
      </w:r>
      <w:r>
        <w:rPr>
          <w:rFonts w:ascii="Arial" w:hAnsi="Arial" w:eastAsia="Arial" w:cs="Arial"/>
          <w:color w:val="000000"/>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eastAsia="Arial" w:cs="Arial"/>
          <w:color w:val="000000"/>
          <w:sz w:val="24"/>
          <w:szCs w:val="24"/>
        </w:rPr>
      </w:pPr>
      <w:r>
        <w:rPr>
          <w:rFonts w:eastAsia="Arial" w:cs="Arial"/>
          <w:b/>
          <w:bCs/>
          <w:color w:val="000000"/>
          <w:sz w:val="24"/>
          <w:szCs w:val="24"/>
        </w:rPr>
        <w:t xml:space="preserve">6.1.5.</w:t>
      </w:r>
      <w:r>
        <w:rPr>
          <w:rFonts w:eastAsia="Arial" w:cs="Arial"/>
          <w:color w:val="000000"/>
          <w:sz w:val="24"/>
          <w:szCs w:val="24"/>
        </w:rPr>
        <w:t xml:space="preserve"> Executar a desinsetização de baratas</w:t>
      </w:r>
      <w:r>
        <w:rPr>
          <w:rFonts w:eastAsia="Arial" w:cs="Arial"/>
          <w:color w:val="000000"/>
          <w:sz w:val="24"/>
          <w:szCs w:val="24"/>
        </w:rPr>
        <w:t xml:space="preserve">, formigas, mosquitos e pulgas por meio de gel, polvilhamento e pulverização, conforme o ambiente e a necessidade, utilizando produtos inodoros e de alta eficácia residual, que não interfiram nas atividades dos usuários e funcionários dos prédios públicos.</w:t>
      </w:r>
      <w:r>
        <w:rPr>
          <w:rFonts w:ascii="Arial" w:hAnsi="Arial" w:eastAsia="Arial" w:cs="Arial"/>
          <w:color w:val="000000"/>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eastAsia="Arial" w:cs="Arial"/>
          <w:color w:val="000000"/>
          <w:sz w:val="24"/>
          <w:szCs w:val="24"/>
        </w:rPr>
      </w:pPr>
      <w:r>
        <w:rPr>
          <w:rFonts w:eastAsia="Arial" w:cs="Arial"/>
          <w:b/>
          <w:bCs/>
          <w:color w:val="000000"/>
          <w:sz w:val="24"/>
          <w:szCs w:val="24"/>
        </w:rPr>
        <w:t xml:space="preserve">6.1.6. </w:t>
      </w:r>
      <w:r>
        <w:rPr>
          <w:rFonts w:eastAsia="Arial" w:cs="Arial"/>
          <w:color w:val="000000"/>
          <w:sz w:val="24"/>
          <w:szCs w:val="24"/>
        </w:rPr>
        <w:t xml:space="preserve">Realizar a descupinização com tratamento localizado, utilizando técnicas de pulverização ou injeção de calda inseticida, específicas para cupins de madeira seca (</w:t>
      </w:r>
      <w:r>
        <w:rPr>
          <w:rFonts w:eastAsia="Arial" w:cs="Arial"/>
          <w:i/>
          <w:color w:val="000000"/>
          <w:sz w:val="24"/>
          <w:szCs w:val="24"/>
        </w:rPr>
        <w:t xml:space="preserve">Cryptotermes brevis</w:t>
      </w:r>
      <w:r>
        <w:rPr>
          <w:rFonts w:eastAsia="Arial" w:cs="Arial"/>
          <w:color w:val="000000"/>
          <w:sz w:val="24"/>
          <w:szCs w:val="24"/>
        </w:rPr>
        <w:t xml:space="preserve">) e subterrâneos (</w:t>
      </w:r>
      <w:r>
        <w:rPr>
          <w:rFonts w:eastAsia="Arial" w:cs="Arial"/>
          <w:i/>
          <w:color w:val="000000"/>
          <w:sz w:val="24"/>
          <w:szCs w:val="24"/>
        </w:rPr>
        <w:t xml:space="preserve">Coptotermes gestroi</w:t>
      </w:r>
      <w:r>
        <w:rPr>
          <w:rFonts w:eastAsia="Arial" w:cs="Arial"/>
          <w:color w:val="000000"/>
          <w:sz w:val="24"/>
          <w:szCs w:val="24"/>
        </w:rPr>
        <w:t xml:space="preserve">), após inspeção técnica da área infestada.</w:t>
      </w:r>
      <w:r>
        <w:rPr>
          <w:rFonts w:ascii="Arial" w:hAnsi="Arial" w:eastAsia="Arial" w:cs="Arial"/>
          <w:color w:val="000000"/>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cs="Arial"/>
          <w:sz w:val="24"/>
          <w:szCs w:val="24"/>
        </w:rPr>
      </w:pPr>
      <w:r>
        <w:rPr>
          <w:rFonts w:eastAsia="Arial" w:cs="Arial"/>
          <w:b/>
          <w:bCs/>
          <w:color w:val="000000"/>
          <w:sz w:val="24"/>
          <w:szCs w:val="24"/>
        </w:rPr>
        <w:t xml:space="preserve">6.1.7.</w:t>
      </w:r>
      <w:r>
        <w:rPr>
          <w:rFonts w:eastAsia="Arial" w:cs="Arial"/>
          <w:color w:val="000000"/>
          <w:sz w:val="24"/>
          <w:szCs w:val="24"/>
        </w:rPr>
        <w:t xml:space="preserve"> Apresentar e manter atualizada toda a documentação técnica e legal exigida para a execução dos serviços, incluindo:</w:t>
      </w:r>
      <w:r>
        <w:rPr>
          <w:rFonts w:ascii="Arial" w:hAnsi="Arial" w:cs="Arial"/>
          <w:sz w:val="24"/>
          <w:szCs w:val="24"/>
        </w:rPr>
      </w:r>
    </w:p>
    <w:p>
      <w:pPr>
        <w:pStyle w:val="1210"/>
        <w:numPr>
          <w:ilvl w:val="0"/>
          <w:numId w:val="24"/>
        </w:numPr>
        <w:pBdr/>
        <w:spacing/>
        <w:ind/>
        <w:rPr>
          <w:rFonts w:ascii="Arial" w:hAnsi="Arial" w:cs="Arial"/>
          <w:sz w:val="24"/>
          <w:szCs w:val="24"/>
        </w:rPr>
      </w:pPr>
      <w:r>
        <w:rPr>
          <w:rFonts w:eastAsia="Arial" w:cs="Arial"/>
          <w:color w:val="000000"/>
          <w:sz w:val="24"/>
          <w:szCs w:val="24"/>
        </w:rPr>
        <w:t xml:space="preserve">Licença Ambiental do INEA (Lei nº 7.806/2017);</w:t>
      </w:r>
      <w:r>
        <w:rPr>
          <w:rFonts w:ascii="Arial" w:hAnsi="Arial" w:cs="Arial"/>
          <w:sz w:val="24"/>
          <w:szCs w:val="24"/>
        </w:rPr>
      </w:r>
    </w:p>
    <w:p>
      <w:pPr>
        <w:pStyle w:val="1210"/>
        <w:numPr>
          <w:ilvl w:val="0"/>
          <w:numId w:val="24"/>
        </w:numPr>
        <w:pBdr/>
        <w:spacing/>
        <w:ind/>
        <w:rPr>
          <w:rFonts w:ascii="Arial" w:hAnsi="Arial" w:cs="Arial"/>
          <w:sz w:val="24"/>
          <w:szCs w:val="24"/>
        </w:rPr>
      </w:pPr>
      <w:r>
        <w:rPr>
          <w:rFonts w:eastAsia="Arial" w:cs="Arial"/>
          <w:color w:val="000000"/>
          <w:sz w:val="24"/>
          <w:szCs w:val="24"/>
        </w:rPr>
        <w:t xml:space="preserve">Registro na ANVISA;</w:t>
      </w:r>
      <w:r>
        <w:rPr>
          <w:rFonts w:ascii="Arial" w:hAnsi="Arial" w:cs="Arial"/>
          <w:sz w:val="24"/>
          <w:szCs w:val="24"/>
        </w:rPr>
      </w:r>
    </w:p>
    <w:p>
      <w:pPr>
        <w:pStyle w:val="1210"/>
        <w:numPr>
          <w:ilvl w:val="0"/>
          <w:numId w:val="24"/>
        </w:numPr>
        <w:pBdr/>
        <w:spacing/>
        <w:ind/>
        <w:rPr>
          <w:rFonts w:ascii="Arial" w:hAnsi="Arial" w:cs="Arial"/>
          <w:sz w:val="24"/>
          <w:szCs w:val="24"/>
        </w:rPr>
      </w:pPr>
      <w:r>
        <w:rPr>
          <w:rFonts w:eastAsia="Arial" w:cs="Arial"/>
          <w:color w:val="000000"/>
          <w:sz w:val="24"/>
          <w:szCs w:val="24"/>
        </w:rPr>
        <w:t xml:space="preserve">Certificação da Vigilância Sanitária sobre veículos e instalações;</w:t>
      </w:r>
      <w:r>
        <w:rPr>
          <w:rFonts w:ascii="Arial" w:hAnsi="Arial" w:cs="Arial"/>
          <w:sz w:val="24"/>
          <w:szCs w:val="24"/>
        </w:rPr>
      </w:r>
    </w:p>
    <w:p>
      <w:pPr>
        <w:pStyle w:val="1210"/>
        <w:numPr>
          <w:ilvl w:val="0"/>
          <w:numId w:val="24"/>
        </w:numPr>
        <w:pBdr/>
        <w:spacing/>
        <w:ind/>
        <w:rPr>
          <w:rFonts w:ascii="Arial" w:hAnsi="Arial" w:cs="Arial"/>
          <w:sz w:val="24"/>
          <w:szCs w:val="24"/>
        </w:rPr>
      </w:pPr>
      <w:r>
        <w:rPr>
          <w:rFonts w:eastAsia="Arial" w:cs="Arial"/>
          <w:color w:val="000000"/>
          <w:sz w:val="24"/>
          <w:szCs w:val="24"/>
        </w:rPr>
        <w:t xml:space="preserve">Atestados de capacidade técnica com comprovação de execução de serviços semelhantes por período mínimo de 03 anos;</w:t>
      </w:r>
      <w:r>
        <w:rPr>
          <w:rFonts w:ascii="Arial" w:hAnsi="Arial" w:cs="Arial"/>
          <w:sz w:val="24"/>
          <w:szCs w:val="24"/>
        </w:rPr>
      </w:r>
    </w:p>
    <w:p>
      <w:pPr>
        <w:pStyle w:val="1210"/>
        <w:numPr>
          <w:ilvl w:val="0"/>
          <w:numId w:val="24"/>
        </w:numPr>
        <w:pBdr/>
        <w:spacing/>
        <w:ind/>
        <w:rPr>
          <w:rFonts w:ascii="Arial" w:hAnsi="Arial" w:cs="Arial"/>
          <w:sz w:val="24"/>
          <w:szCs w:val="24"/>
        </w:rPr>
      </w:pPr>
      <w:r>
        <w:rPr>
          <w:rFonts w:eastAsia="Arial" w:cs="Arial"/>
          <w:color w:val="000000"/>
          <w:sz w:val="24"/>
          <w:szCs w:val="24"/>
        </w:rPr>
        <w:t xml:space="preserve">Registro no Conselho Profissional competente;</w:t>
      </w:r>
      <w:r>
        <w:rPr>
          <w:rFonts w:ascii="Arial" w:hAnsi="Arial" w:cs="Arial"/>
          <w:sz w:val="24"/>
          <w:szCs w:val="24"/>
        </w:rPr>
      </w:r>
    </w:p>
    <w:p>
      <w:pPr>
        <w:pStyle w:val="1210"/>
        <w:numPr>
          <w:ilvl w:val="0"/>
          <w:numId w:val="24"/>
        </w:numPr>
        <w:pBdr/>
        <w:spacing/>
        <w:ind/>
        <w:rPr>
          <w:rFonts w:ascii="Arial" w:hAnsi="Arial" w:cs="Arial"/>
          <w:sz w:val="24"/>
          <w:szCs w:val="24"/>
        </w:rPr>
      </w:pPr>
      <w:r>
        <w:rPr>
          <w:rFonts w:eastAsia="Arial" w:cs="Arial"/>
          <w:color w:val="000000"/>
          <w:sz w:val="24"/>
          <w:szCs w:val="24"/>
        </w:rPr>
        <w:t xml:space="preserve">Declaração de Responsável Técnico com firma reconhecida;</w:t>
      </w:r>
      <w:r>
        <w:rPr>
          <w:rFonts w:ascii="Arial" w:hAnsi="Arial" w:cs="Arial"/>
          <w:sz w:val="24"/>
          <w:szCs w:val="24"/>
        </w:rPr>
      </w:r>
    </w:p>
    <w:p>
      <w:pPr>
        <w:pStyle w:val="1210"/>
        <w:numPr>
          <w:ilvl w:val="0"/>
          <w:numId w:val="24"/>
        </w:numPr>
        <w:pBdr/>
        <w:spacing/>
        <w:ind/>
        <w:rPr>
          <w:rFonts w:ascii="Arial" w:hAnsi="Arial" w:cs="Arial"/>
          <w:sz w:val="24"/>
          <w:szCs w:val="24"/>
        </w:rPr>
      </w:pPr>
      <w:r>
        <w:rPr>
          <w:rFonts w:eastAsia="Arial" w:cs="Arial"/>
          <w:color w:val="000000"/>
          <w:sz w:val="24"/>
          <w:szCs w:val="24"/>
        </w:rPr>
        <w:t xml:space="preserve">Identidade autenticada do Responsável Técnico;</w:t>
      </w:r>
      <w:r>
        <w:rPr>
          <w:rFonts w:ascii="Arial" w:hAnsi="Arial" w:cs="Arial"/>
          <w:sz w:val="24"/>
          <w:szCs w:val="24"/>
        </w:rPr>
      </w:r>
    </w:p>
    <w:p>
      <w:pPr>
        <w:pStyle w:val="1210"/>
        <w:numPr>
          <w:ilvl w:val="0"/>
          <w:numId w:val="24"/>
        </w:numPr>
        <w:pBdr/>
        <w:spacing/>
        <w:ind/>
        <w:rPr>
          <w:rFonts w:ascii="Arial" w:hAnsi="Arial" w:cs="Arial"/>
          <w:sz w:val="24"/>
          <w:szCs w:val="24"/>
        </w:rPr>
      </w:pPr>
      <w:r>
        <w:rPr>
          <w:rFonts w:eastAsia="Arial" w:cs="Arial"/>
          <w:color w:val="000000"/>
          <w:sz w:val="24"/>
          <w:szCs w:val="24"/>
        </w:rPr>
        <w:t xml:space="preserve">Registros e capacitação dos funcionários que atuarão nos serviços;</w:t>
      </w:r>
      <w:r>
        <w:rPr>
          <w:rFonts w:ascii="Arial" w:hAnsi="Arial" w:cs="Arial"/>
          <w:sz w:val="24"/>
          <w:szCs w:val="24"/>
        </w:rPr>
      </w:r>
    </w:p>
    <w:p>
      <w:pPr>
        <w:pStyle w:val="1210"/>
        <w:numPr>
          <w:ilvl w:val="0"/>
          <w:numId w:val="24"/>
        </w:numPr>
        <w:pBdr/>
        <w:spacing/>
        <w:ind/>
        <w:rPr>
          <w:rFonts w:ascii="Arial" w:hAnsi="Arial" w:cs="Arial"/>
          <w:sz w:val="24"/>
          <w:szCs w:val="24"/>
        </w:rPr>
      </w:pPr>
      <w:r>
        <w:rPr>
          <w:rFonts w:eastAsia="Arial" w:cs="Arial"/>
          <w:color w:val="000000"/>
          <w:sz w:val="24"/>
          <w:szCs w:val="24"/>
        </w:rPr>
        <w:t xml:space="preserve">Certificado de Inspeção Sanitária da sede da empresa;</w:t>
      </w:r>
      <w:r>
        <w:rPr>
          <w:rFonts w:ascii="Arial" w:hAnsi="Arial" w:cs="Arial"/>
          <w:sz w:val="24"/>
          <w:szCs w:val="24"/>
        </w:rPr>
      </w:r>
    </w:p>
    <w:p>
      <w:pPr>
        <w:pStyle w:val="1210"/>
        <w:numPr>
          <w:ilvl w:val="0"/>
          <w:numId w:val="24"/>
        </w:numPr>
        <w:pBdr/>
        <w:spacing/>
        <w:ind/>
        <w:rPr>
          <w:rFonts w:ascii="Arial" w:hAnsi="Arial" w:cs="Arial"/>
          <w:sz w:val="24"/>
          <w:szCs w:val="24"/>
        </w:rPr>
      </w:pPr>
      <w:r>
        <w:rPr>
          <w:rFonts w:eastAsia="Arial" w:cs="Arial"/>
          <w:color w:val="000000"/>
          <w:sz w:val="24"/>
          <w:szCs w:val="24"/>
        </w:rPr>
        <w:t xml:space="preserve">Certidão Federal do IBAMA para transporte de produtos perigosos;</w:t>
      </w:r>
      <w:r>
        <w:rPr>
          <w:rFonts w:ascii="Arial" w:hAnsi="Arial" w:cs="Arial"/>
          <w:sz w:val="24"/>
          <w:szCs w:val="24"/>
        </w:rPr>
      </w:r>
    </w:p>
    <w:p>
      <w:pPr>
        <w:pStyle w:val="1210"/>
        <w:numPr>
          <w:ilvl w:val="0"/>
          <w:numId w:val="24"/>
        </w:numPr>
        <w:pBdr/>
        <w:spacing/>
        <w:ind/>
        <w:rPr>
          <w:rFonts w:ascii="Arial" w:hAnsi="Arial" w:cs="Arial"/>
          <w:sz w:val="24"/>
          <w:szCs w:val="24"/>
        </w:rPr>
      </w:pPr>
      <w:r>
        <w:rPr>
          <w:rFonts w:eastAsia="Arial" w:cs="Arial"/>
          <w:color w:val="000000"/>
          <w:sz w:val="24"/>
          <w:szCs w:val="24"/>
        </w:rPr>
        <w:t xml:space="preserve">Declaração de destinação final legal dos resíduos gerados, com comprovação de descarte ambientalmente responsável.</w:t>
      </w:r>
      <w:r>
        <w:rPr>
          <w:rFonts w:ascii="Arial" w:hAnsi="Arial" w:cs="Arial"/>
          <w:sz w:val="24"/>
          <w:szCs w:val="24"/>
        </w:rPr>
      </w:r>
    </w:p>
    <w:p>
      <w:pPr>
        <w:pStyle w:val="1056"/>
        <w:pBdr/>
        <w:spacing/>
        <w:ind w:left="709"/>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eastAsia="Arial" w:cs="Arial"/>
          <w:color w:val="000000"/>
          <w:sz w:val="24"/>
          <w:szCs w:val="24"/>
        </w:rPr>
      </w:pPr>
      <w:r>
        <w:rPr>
          <w:rFonts w:eastAsia="Arial" w:cs="Arial"/>
          <w:b/>
          <w:bCs/>
          <w:color w:val="000000"/>
          <w:sz w:val="24"/>
          <w:szCs w:val="24"/>
        </w:rPr>
        <w:t xml:space="preserve">6.1.8.</w:t>
      </w:r>
      <w:r>
        <w:rPr>
          <w:rFonts w:eastAsia="Arial" w:cs="Arial"/>
          <w:color w:val="000000"/>
          <w:sz w:val="24"/>
          <w:szCs w:val="24"/>
        </w:rPr>
        <w:t xml:space="preserve"> Manter, durante toda a execução do contrato, todas as condições de habilitação e qualificação exigidas na licitação, assegurando a conformidade com as normas estabelecidas pela Lei nº 14.133/2021.</w:t>
      </w:r>
      <w:r>
        <w:rPr>
          <w:rFonts w:ascii="Arial" w:hAnsi="Arial" w:eastAsia="Arial" w:cs="Arial"/>
          <w:color w:val="000000"/>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eastAsia="Arial" w:cs="Arial"/>
          <w:color w:val="000000"/>
          <w:sz w:val="24"/>
          <w:szCs w:val="24"/>
        </w:rPr>
      </w:pPr>
      <w:r>
        <w:rPr>
          <w:rFonts w:eastAsia="Arial" w:cs="Arial"/>
          <w:b/>
          <w:bCs/>
          <w:color w:val="000000"/>
          <w:sz w:val="24"/>
          <w:szCs w:val="24"/>
        </w:rPr>
        <w:t xml:space="preserve">6.1.9.</w:t>
      </w:r>
      <w:r>
        <w:rPr>
          <w:rFonts w:eastAsia="Arial" w:cs="Arial"/>
          <w:color w:val="000000"/>
          <w:sz w:val="24"/>
          <w:szCs w:val="24"/>
        </w:rPr>
        <w:t xml:space="preserve"> Indicar preposto para acompanhamento da execução dos serviços, garantindo comunicação ágil e eficaz com a Administração.</w:t>
      </w:r>
      <w:r>
        <w:rPr>
          <w:rFonts w:ascii="Arial" w:hAnsi="Arial" w:eastAsia="Arial" w:cs="Arial"/>
          <w:color w:val="000000"/>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eastAsia="Arial" w:cs="Arial"/>
          <w:color w:val="000000"/>
          <w:sz w:val="24"/>
          <w:szCs w:val="24"/>
        </w:rPr>
      </w:pPr>
      <w:r>
        <w:rPr>
          <w:rFonts w:eastAsia="Arial" w:cs="Arial"/>
          <w:b/>
          <w:bCs/>
          <w:color w:val="000000"/>
          <w:sz w:val="24"/>
          <w:szCs w:val="24"/>
        </w:rPr>
        <w:t xml:space="preserve">6.1.10.</w:t>
      </w:r>
      <w:r>
        <w:rPr>
          <w:rFonts w:eastAsia="Arial" w:cs="Arial"/>
          <w:color w:val="000000"/>
          <w:sz w:val="24"/>
          <w:szCs w:val="24"/>
        </w:rPr>
        <w:t xml:space="preserve"> Cumprir todas as normas de segurança do trabalho e regulamentações vigentes, em especial a NR-35 do MTE, quando houver necessidade de trabalho em altura.</w:t>
      </w:r>
      <w:r>
        <w:rPr>
          <w:rFonts w:ascii="Arial" w:hAnsi="Arial" w:eastAsia="Arial" w:cs="Arial"/>
          <w:color w:val="000000"/>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eastAsia="Arial" w:cs="Arial"/>
          <w:color w:val="000000"/>
          <w:sz w:val="24"/>
          <w:szCs w:val="24"/>
        </w:rPr>
      </w:pPr>
      <w:r>
        <w:rPr>
          <w:rFonts w:eastAsia="Arial" w:cs="Arial"/>
          <w:b/>
          <w:bCs/>
          <w:color w:val="000000"/>
          <w:sz w:val="24"/>
          <w:szCs w:val="24"/>
        </w:rPr>
        <w:t xml:space="preserve">6.1.11</w:t>
      </w:r>
      <w:r>
        <w:rPr>
          <w:rFonts w:eastAsia="Arial" w:cs="Arial"/>
          <w:color w:val="000000"/>
          <w:sz w:val="24"/>
          <w:szCs w:val="24"/>
        </w:rPr>
        <w:t xml:space="preserve">. Apresentar, sempre que solicitado, o registro de trabalho e comprovação de capacitação técnica dos funcionários envolvidos na prestação dos serviços.</w:t>
      </w:r>
      <w:r>
        <w:rPr>
          <w:rFonts w:ascii="Arial" w:hAnsi="Arial" w:eastAsia="Arial" w:cs="Arial"/>
          <w:color w:val="000000"/>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cs="Arial"/>
          <w:sz w:val="24"/>
          <w:szCs w:val="24"/>
        </w:rPr>
      </w:pPr>
      <w:r>
        <w:rPr>
          <w:rFonts w:eastAsia="Arial" w:cs="Arial"/>
          <w:b/>
          <w:bCs/>
          <w:color w:val="000000"/>
          <w:sz w:val="24"/>
          <w:szCs w:val="24"/>
        </w:rPr>
        <w:t xml:space="preserve">6.1.12</w:t>
      </w:r>
      <w:r>
        <w:rPr>
          <w:rFonts w:eastAsia="Arial" w:cs="Arial"/>
          <w:color w:val="000000"/>
          <w:sz w:val="24"/>
          <w:szCs w:val="24"/>
        </w:rPr>
        <w:t xml:space="preserve">. Efetuar o descarte dos resíduos gerados durante os serviços de forma ambientalmente adequada, conforme legislação vigente e apresentar os comprovantes de destinação legal sempre que exigido.</w:t>
      </w:r>
      <w:r>
        <w:rPr>
          <w:rFonts w:ascii="Arial" w:hAnsi="Arial" w:cs="Arial"/>
          <w:sz w:val="24"/>
          <w:szCs w:val="24"/>
        </w:rPr>
      </w:r>
    </w:p>
    <w:p>
      <w:pPr>
        <w:pStyle w:val="1056"/>
        <w:pBdr/>
        <w:spacing/>
        <w:ind/>
        <w:rPr>
          <w:rFonts w:ascii="Arial" w:hAnsi="Arial" w:eastAsia="Arial" w:cs="Arial"/>
          <w:color w:val="000000"/>
          <w:sz w:val="24"/>
          <w:szCs w:val="24"/>
        </w:rPr>
      </w:pPr>
      <w:r>
        <w:rPr>
          <w:rFonts w:eastAsia="Arial" w:cs="Arial"/>
          <w:b/>
          <w:bCs/>
          <w:color w:val="000000"/>
          <w:sz w:val="24"/>
          <w:szCs w:val="24"/>
        </w:rPr>
        <w:t xml:space="preserve">6.1.13</w:t>
      </w:r>
      <w:r>
        <w:rPr>
          <w:rFonts w:eastAsia="Arial" w:cs="Arial"/>
          <w:color w:val="000000"/>
          <w:sz w:val="24"/>
          <w:szCs w:val="24"/>
        </w:rPr>
        <w:t xml:space="preserve">. Efetuar a entrega dos materiais e serviços contratados em perfeitas condições, conforme as especificações técnicas, prazos e locais estabelecidos, acompanhados da respectiva nota fiscal.</w:t>
      </w:r>
      <w:r>
        <w:rPr>
          <w:rFonts w:ascii="Arial" w:hAnsi="Arial" w:eastAsia="Arial" w:cs="Arial"/>
          <w:color w:val="000000"/>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eastAsia="Arial" w:cs="Arial"/>
          <w:color w:val="000000"/>
          <w:sz w:val="24"/>
          <w:szCs w:val="24"/>
        </w:rPr>
      </w:pPr>
      <w:r>
        <w:rPr>
          <w:rFonts w:eastAsia="Arial" w:cs="Arial"/>
          <w:b/>
          <w:bCs/>
          <w:color w:val="000000"/>
          <w:sz w:val="24"/>
          <w:szCs w:val="24"/>
        </w:rPr>
        <w:t xml:space="preserve">6.1.14.</w:t>
      </w:r>
      <w:r>
        <w:rPr>
          <w:rFonts w:eastAsia="Arial" w:cs="Arial"/>
          <w:color w:val="000000"/>
          <w:sz w:val="24"/>
          <w:szCs w:val="24"/>
        </w:rPr>
        <w:t xml:space="preserve"> Substituir, reparar ou corrigir, às suas expensas, qualquer serviço ou material que apresente defeito ou avaria, no prazo fixado neste Termo de Referência.</w:t>
      </w:r>
      <w:r>
        <w:rPr>
          <w:rFonts w:ascii="Arial" w:hAnsi="Arial" w:eastAsia="Arial" w:cs="Arial"/>
          <w:color w:val="000000"/>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eastAsia="Arial" w:cs="Arial"/>
          <w:color w:val="000000"/>
          <w:sz w:val="24"/>
          <w:szCs w:val="24"/>
        </w:rPr>
      </w:pPr>
      <w:r>
        <w:rPr>
          <w:rFonts w:eastAsia="Arial" w:cs="Arial"/>
          <w:b/>
          <w:bCs/>
          <w:color w:val="000000"/>
          <w:sz w:val="24"/>
          <w:szCs w:val="24"/>
        </w:rPr>
        <w:t xml:space="preserve">6.1.15.</w:t>
      </w:r>
      <w:r>
        <w:rPr>
          <w:rFonts w:eastAsia="Arial" w:cs="Arial"/>
          <w:color w:val="000000"/>
          <w:sz w:val="24"/>
          <w:szCs w:val="24"/>
        </w:rPr>
        <w:t xml:space="preserve"> Comunicar à Contratante, com antecedência mínima de 48 (quarenta e oito) horas, quaisquer motivos que impossibilitem o cumprimento do prazo previsto para execução dos serviços, com a devida comprovação.</w:t>
      </w:r>
      <w:r>
        <w:rPr>
          <w:rFonts w:ascii="Arial" w:hAnsi="Arial" w:eastAsia="Arial" w:cs="Arial"/>
          <w:color w:val="000000"/>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eastAsia="Arial" w:cs="Arial"/>
          <w:color w:val="000000"/>
          <w:sz w:val="24"/>
          <w:szCs w:val="24"/>
        </w:rPr>
      </w:pPr>
      <w:r>
        <w:rPr>
          <w:rFonts w:eastAsia="Arial" w:cs="Arial"/>
          <w:b/>
          <w:bCs/>
          <w:color w:val="000000"/>
          <w:sz w:val="24"/>
          <w:szCs w:val="24"/>
        </w:rPr>
        <w:t xml:space="preserve">6.1.16.</w:t>
      </w:r>
      <w:r>
        <w:rPr>
          <w:rFonts w:eastAsia="Arial" w:cs="Arial"/>
          <w:color w:val="000000"/>
          <w:sz w:val="24"/>
          <w:szCs w:val="24"/>
        </w:rPr>
        <w:t xml:space="preserve"> Apresentar plano de execução técnica com cronograma, metodologia, produtos e procedimentos de segurança a serem aplicados, conforme o tipo de praga e local atendido.</w:t>
      </w:r>
      <w:r>
        <w:rPr>
          <w:rFonts w:ascii="Arial" w:hAnsi="Arial" w:eastAsia="Arial" w:cs="Arial"/>
          <w:color w:val="000000"/>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eastAsia="Arial" w:cs="Arial"/>
          <w:sz w:val="24"/>
          <w:szCs w:val="24"/>
        </w:rPr>
      </w:pPr>
      <w:r>
        <w:rPr>
          <w:rFonts w:eastAsia="Arial" w:cs="Arial"/>
          <w:b/>
          <w:bCs/>
          <w:sz w:val="24"/>
          <w:szCs w:val="24"/>
        </w:rPr>
        <w:t xml:space="preserve">6.1.17.</w:t>
      </w:r>
      <w:r>
        <w:rPr>
          <w:rFonts w:eastAsia="Arial" w:cs="Arial"/>
          <w:sz w:val="24"/>
          <w:szCs w:val="24"/>
        </w:rPr>
        <w:t xml:space="preserve"> Monitorar continuamente</w:t>
      </w:r>
      <w:r>
        <w:rPr>
          <w:rFonts w:eastAsia="Arial" w:cs="Arial"/>
          <w:sz w:val="24"/>
          <w:szCs w:val="24"/>
        </w:rPr>
        <w:t xml:space="preserve"> os ambientes atendidos, promovendo ações corretivas e preventivas com base em indicadores de infestação, nível de risco, e frequência de uso dos espaços, garantindo o cumprimento dos critérios estabelecidos no programa de Manejo Integrado de Pragas (MIP).</w:t>
      </w:r>
      <w:r>
        <w:rPr>
          <w:rFonts w:ascii="Arial" w:hAnsi="Arial" w:eastAsia="Arial" w:cs="Arial"/>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eastAsia="Arial" w:cs="Arial"/>
          <w:sz w:val="24"/>
          <w:szCs w:val="24"/>
        </w:rPr>
      </w:pPr>
      <w:r>
        <w:rPr>
          <w:rFonts w:eastAsia="Arial" w:cs="Arial"/>
          <w:b/>
          <w:bCs/>
          <w:sz w:val="24"/>
          <w:szCs w:val="24"/>
        </w:rPr>
        <w:t xml:space="preserve">6.1.18. </w:t>
      </w:r>
      <w:r>
        <w:rPr>
          <w:rFonts w:eastAsia="Arial" w:cs="Arial"/>
          <w:sz w:val="24"/>
          <w:szCs w:val="24"/>
        </w:rPr>
        <w:t xml:space="preserve">Responder prontamente às solicitaç</w:t>
      </w:r>
      <w:r>
        <w:rPr>
          <w:rFonts w:eastAsia="Arial" w:cs="Arial"/>
          <w:sz w:val="24"/>
          <w:szCs w:val="24"/>
        </w:rPr>
        <w:t xml:space="preserve">ões emergenciais da Contratante para controle de pragas que não estejam incluídas na rotina mensal (como cupins, pulgas e carrapatos), assegurando prazo mínimo de resposta de 24h úteis e atendimento técnico com padrão equivalente ao dos serviços regulares.</w:t>
      </w:r>
      <w:r>
        <w:rPr>
          <w:rFonts w:ascii="Arial" w:hAnsi="Arial" w:eastAsia="Arial" w:cs="Arial"/>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eastAsia="Arial" w:cs="Arial"/>
          <w:sz w:val="24"/>
          <w:szCs w:val="24"/>
        </w:rPr>
      </w:pPr>
      <w:r>
        <w:rPr>
          <w:rFonts w:eastAsia="Arial" w:cs="Arial"/>
          <w:b/>
          <w:bCs/>
          <w:sz w:val="24"/>
          <w:szCs w:val="24"/>
        </w:rPr>
        <w:t xml:space="preserve">6.1.19.</w:t>
      </w:r>
      <w:r>
        <w:rPr>
          <w:rFonts w:eastAsia="Arial" w:cs="Arial"/>
          <w:sz w:val="24"/>
          <w:szCs w:val="24"/>
        </w:rPr>
        <w:t xml:space="preserve"> Garantir que os métodos de aplicação adotados, conforme definidos na seção 3.1.3 deste Termo, sejam sempre compatíveis com o tipo de ambiente tratado (interno ou externo), com a espécie alvo e com a segurança dos ocupantes e equipamentos do local.</w:t>
      </w:r>
      <w:r>
        <w:rPr>
          <w:rFonts w:ascii="Arial" w:hAnsi="Arial" w:eastAsia="Arial" w:cs="Arial"/>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cs="Arial"/>
          <w:sz w:val="24"/>
          <w:szCs w:val="24"/>
        </w:rPr>
      </w:pPr>
      <w:r>
        <w:rPr>
          <w:rFonts w:eastAsia="Arial" w:cs="Arial"/>
          <w:b/>
          <w:bCs/>
          <w:sz w:val="24"/>
          <w:szCs w:val="24"/>
        </w:rPr>
        <w:t xml:space="preserve">6.1.20.</w:t>
      </w:r>
      <w:r>
        <w:rPr>
          <w:rFonts w:eastAsia="Arial" w:cs="Arial"/>
          <w:sz w:val="24"/>
          <w:szCs w:val="24"/>
        </w:rPr>
        <w:t xml:space="preserve"> Elaborar e apresentar à Contratante, a cada ciclo mensal, relatório técnico de controle de pragas, contendo:</w:t>
      </w:r>
      <w:r>
        <w:rPr>
          <w:rFonts w:ascii="Arial" w:hAnsi="Arial" w:cs="Arial"/>
          <w:sz w:val="24"/>
          <w:szCs w:val="24"/>
        </w:rPr>
      </w:r>
    </w:p>
    <w:p>
      <w:pPr>
        <w:pStyle w:val="1210"/>
        <w:numPr>
          <w:ilvl w:val="0"/>
          <w:numId w:val="25"/>
        </w:numPr>
        <w:pBdr/>
        <w:spacing/>
        <w:ind/>
        <w:rPr>
          <w:rFonts w:ascii="Arial" w:hAnsi="Arial" w:cs="Arial"/>
          <w:sz w:val="24"/>
          <w:szCs w:val="24"/>
        </w:rPr>
      </w:pPr>
      <w:r>
        <w:rPr>
          <w:rFonts w:eastAsia="Arial" w:cs="Arial"/>
          <w:sz w:val="24"/>
          <w:szCs w:val="24"/>
        </w:rPr>
        <w:t xml:space="preserve">Descrição dos serviços realizados por unidade e ambiente;</w:t>
      </w:r>
      <w:r>
        <w:rPr>
          <w:rFonts w:ascii="Arial" w:hAnsi="Arial" w:cs="Arial"/>
          <w:sz w:val="24"/>
          <w:szCs w:val="24"/>
        </w:rPr>
      </w:r>
    </w:p>
    <w:p>
      <w:pPr>
        <w:pStyle w:val="1210"/>
        <w:numPr>
          <w:ilvl w:val="0"/>
          <w:numId w:val="25"/>
        </w:numPr>
        <w:pBdr/>
        <w:spacing/>
        <w:ind/>
        <w:rPr>
          <w:rFonts w:ascii="Arial" w:hAnsi="Arial" w:cs="Arial"/>
          <w:sz w:val="24"/>
          <w:szCs w:val="24"/>
        </w:rPr>
      </w:pPr>
      <w:r>
        <w:rPr>
          <w:rFonts w:eastAsia="Arial" w:cs="Arial"/>
          <w:sz w:val="24"/>
          <w:szCs w:val="24"/>
        </w:rPr>
        <w:t xml:space="preserve">Produtos aplicados (com nome, concentração e lote);</w:t>
      </w:r>
      <w:r>
        <w:rPr>
          <w:rFonts w:ascii="Arial" w:hAnsi="Arial" w:cs="Arial"/>
          <w:sz w:val="24"/>
          <w:szCs w:val="24"/>
        </w:rPr>
      </w:r>
    </w:p>
    <w:p>
      <w:pPr>
        <w:pStyle w:val="1210"/>
        <w:numPr>
          <w:ilvl w:val="0"/>
          <w:numId w:val="25"/>
        </w:numPr>
        <w:pBdr/>
        <w:spacing/>
        <w:ind/>
        <w:rPr>
          <w:rFonts w:ascii="Arial" w:hAnsi="Arial" w:cs="Arial"/>
          <w:sz w:val="24"/>
          <w:szCs w:val="24"/>
        </w:rPr>
      </w:pPr>
      <w:r>
        <w:rPr>
          <w:rFonts w:eastAsia="Arial" w:cs="Arial"/>
          <w:sz w:val="24"/>
          <w:szCs w:val="24"/>
        </w:rPr>
        <w:t xml:space="preserve">Quantidade de dispositivos instalados (caixas, iscas, etc.);</w:t>
      </w:r>
      <w:r>
        <w:rPr>
          <w:rFonts w:ascii="Arial" w:hAnsi="Arial" w:cs="Arial"/>
          <w:sz w:val="24"/>
          <w:szCs w:val="24"/>
        </w:rPr>
      </w:r>
    </w:p>
    <w:p>
      <w:pPr>
        <w:pStyle w:val="1210"/>
        <w:numPr>
          <w:ilvl w:val="0"/>
          <w:numId w:val="25"/>
        </w:numPr>
        <w:pBdr/>
        <w:spacing/>
        <w:ind/>
        <w:rPr>
          <w:rFonts w:ascii="Arial" w:hAnsi="Arial" w:cs="Arial"/>
          <w:sz w:val="24"/>
          <w:szCs w:val="24"/>
        </w:rPr>
      </w:pPr>
      <w:r>
        <w:rPr>
          <w:rFonts w:eastAsia="Arial" w:cs="Arial"/>
          <w:sz w:val="24"/>
          <w:szCs w:val="24"/>
        </w:rPr>
        <w:t xml:space="preserve">Ocorrências registradas e ações corretivas;</w:t>
      </w:r>
      <w:r>
        <w:rPr>
          <w:rFonts w:ascii="Arial" w:hAnsi="Arial" w:cs="Arial"/>
          <w:sz w:val="24"/>
          <w:szCs w:val="24"/>
        </w:rPr>
      </w:r>
    </w:p>
    <w:p>
      <w:pPr>
        <w:pStyle w:val="1210"/>
        <w:numPr>
          <w:ilvl w:val="0"/>
          <w:numId w:val="25"/>
        </w:numPr>
        <w:pBdr/>
        <w:spacing/>
        <w:ind/>
        <w:rPr>
          <w:rFonts w:ascii="Arial" w:hAnsi="Arial" w:cs="Arial"/>
          <w:sz w:val="24"/>
          <w:szCs w:val="24"/>
        </w:rPr>
      </w:pPr>
      <w:r>
        <w:rPr>
          <w:rFonts w:eastAsia="Arial" w:cs="Arial"/>
          <w:sz w:val="24"/>
          <w:szCs w:val="24"/>
        </w:rPr>
        <w:t xml:space="preserve">Recomendações para prevenção;</w:t>
      </w:r>
      <w:r>
        <w:rPr>
          <w:rFonts w:ascii="Arial" w:hAnsi="Arial" w:cs="Arial"/>
          <w:sz w:val="24"/>
          <w:szCs w:val="24"/>
        </w:rPr>
      </w:r>
    </w:p>
    <w:p>
      <w:pPr>
        <w:pStyle w:val="1210"/>
        <w:numPr>
          <w:ilvl w:val="0"/>
          <w:numId w:val="25"/>
        </w:numPr>
        <w:pBdr/>
        <w:spacing/>
        <w:ind/>
        <w:rPr>
          <w:rFonts w:ascii="Arial" w:hAnsi="Arial" w:cs="Arial"/>
          <w:sz w:val="24"/>
          <w:szCs w:val="24"/>
        </w:rPr>
      </w:pPr>
      <w:r>
        <w:rPr>
          <w:rFonts w:eastAsia="Arial" w:cs="Arial"/>
          <w:sz w:val="24"/>
          <w:szCs w:val="24"/>
        </w:rPr>
        <w:t xml:space="preserve">Assinatura do responsável técnico e data de execução.</w:t>
      </w:r>
      <w:r>
        <w:rPr>
          <w:rFonts w:ascii="Arial" w:hAnsi="Arial" w:cs="Arial"/>
          <w:sz w:val="24"/>
          <w:szCs w:val="24"/>
        </w:rPr>
      </w:r>
    </w:p>
    <w:p>
      <w:pPr>
        <w:pStyle w:val="1056"/>
        <w:pBdr/>
        <w:spacing/>
        <w:ind w:left="709"/>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cs="Arial"/>
          <w:sz w:val="24"/>
          <w:szCs w:val="24"/>
        </w:rPr>
      </w:pPr>
      <w:r>
        <w:rPr>
          <w:rFonts w:eastAsia="Arial" w:cs="Arial"/>
          <w:b/>
          <w:bCs/>
          <w:sz w:val="24"/>
          <w:szCs w:val="24"/>
        </w:rPr>
        <w:t xml:space="preserve">6.1.21.</w:t>
      </w:r>
      <w:r>
        <w:rPr>
          <w:rFonts w:eastAsia="Arial" w:cs="Arial"/>
          <w:sz w:val="24"/>
          <w:szCs w:val="24"/>
        </w:rPr>
        <w:t xml:space="preserve"> </w:t>
      </w:r>
      <w:r>
        <w:rPr>
          <w:rFonts w:eastAsia="Arial" w:cs="Arial"/>
          <w:b/>
          <w:color w:val="000000"/>
          <w:sz w:val="24"/>
          <w:szCs w:val="24"/>
        </w:rPr>
        <w:t xml:space="preserve">DOS SERVIÇOS</w:t>
      </w:r>
      <w:r>
        <w:rPr>
          <w:rFonts w:ascii="Arial" w:hAnsi="Arial" w:cs="Arial"/>
          <w:sz w:val="24"/>
          <w:szCs w:val="24"/>
        </w:rPr>
      </w:r>
    </w:p>
    <w:p>
      <w:pPr>
        <w:pStyle w:val="1056"/>
        <w:pBdr/>
        <w:spacing w:line="360" w:lineRule="auto"/>
        <w:ind w:firstLine="709"/>
        <w:jc w:val="both"/>
        <w:rPr>
          <w:rFonts w:ascii="Arial" w:hAnsi="Arial" w:cs="Arial"/>
          <w:sz w:val="24"/>
          <w:szCs w:val="24"/>
        </w:rPr>
      </w:pPr>
      <w:r>
        <w:rPr>
          <w:rFonts w:eastAsia="Arial" w:cs="Arial"/>
          <w:b/>
          <w:color w:val="000000"/>
          <w:sz w:val="24"/>
          <w:szCs w:val="24"/>
        </w:rPr>
        <w:t xml:space="preserve">6.1.21.1. ESPECIFICAÇÕES BÁSICAS DOS SERVIÇOS</w:t>
      </w:r>
      <w:r>
        <w:rPr>
          <w:rFonts w:ascii="Arial" w:hAnsi="Arial" w:cs="Arial"/>
          <w:sz w:val="24"/>
          <w:szCs w:val="24"/>
        </w:rPr>
      </w:r>
    </w:p>
    <w:p>
      <w:pPr>
        <w:pStyle w:val="1056"/>
        <w:pBdr/>
        <w:spacing w:line="360" w:lineRule="auto"/>
        <w:ind w:firstLine="709" w:left="709"/>
        <w:jc w:val="both"/>
        <w:rPr>
          <w:rFonts w:ascii="Arial" w:hAnsi="Arial" w:cs="Arial"/>
          <w:sz w:val="24"/>
          <w:szCs w:val="24"/>
        </w:rPr>
      </w:pPr>
      <w:r>
        <w:rPr>
          <w:rFonts w:eastAsia="Arial" w:cs="Arial"/>
          <w:b/>
          <w:color w:val="000000"/>
          <w:sz w:val="24"/>
          <w:szCs w:val="24"/>
        </w:rPr>
        <w:t xml:space="preserve">6.1.21.1.1. VETORES E PRAGAS A SEREM CONTROLADOS:</w:t>
      </w:r>
      <w:r>
        <w:rPr>
          <w:rFonts w:ascii="Arial" w:hAnsi="Arial" w:cs="Arial"/>
          <w:sz w:val="24"/>
          <w:szCs w:val="24"/>
        </w:rPr>
      </w:r>
    </w:p>
    <w:p>
      <w:pPr>
        <w:pStyle w:val="1210"/>
        <w:numPr>
          <w:ilvl w:val="0"/>
          <w:numId w:val="26"/>
        </w:numPr>
        <w:pBdr/>
        <w:spacing w:line="360" w:lineRule="auto"/>
        <w:ind/>
        <w:jc w:val="both"/>
        <w:rPr>
          <w:rFonts w:ascii="Arial" w:hAnsi="Arial" w:cs="Arial"/>
          <w:sz w:val="24"/>
          <w:szCs w:val="24"/>
        </w:rPr>
      </w:pPr>
      <w:r>
        <w:rPr>
          <w:rFonts w:eastAsia="Arial" w:cs="Arial"/>
          <w:i/>
          <w:color w:val="000000"/>
          <w:sz w:val="24"/>
          <w:szCs w:val="24"/>
          <w:u w:val="single"/>
        </w:rPr>
        <w:t xml:space="preserve">Periplaneta americana</w:t>
      </w:r>
      <w:r>
        <w:rPr>
          <w:rFonts w:eastAsia="Arial" w:cs="Arial"/>
          <w:color w:val="000000"/>
          <w:sz w:val="24"/>
          <w:szCs w:val="24"/>
        </w:rPr>
        <w:t xml:space="preserve"> – Barata de Esgoto</w:t>
      </w:r>
      <w:r>
        <w:rPr>
          <w:rFonts w:ascii="Arial" w:hAnsi="Arial" w:cs="Arial"/>
          <w:sz w:val="24"/>
          <w:szCs w:val="24"/>
        </w:rPr>
      </w:r>
    </w:p>
    <w:p>
      <w:pPr>
        <w:pStyle w:val="1210"/>
        <w:numPr>
          <w:ilvl w:val="0"/>
          <w:numId w:val="26"/>
        </w:numPr>
        <w:pBdr/>
        <w:spacing w:line="360" w:lineRule="auto"/>
        <w:ind/>
        <w:jc w:val="both"/>
        <w:rPr>
          <w:rFonts w:ascii="Arial" w:hAnsi="Arial" w:cs="Arial"/>
          <w:sz w:val="24"/>
          <w:szCs w:val="24"/>
        </w:rPr>
      </w:pPr>
      <w:r>
        <w:rPr>
          <w:rFonts w:eastAsia="Arial" w:cs="Arial"/>
          <w:i/>
          <w:color w:val="000000"/>
          <w:sz w:val="24"/>
          <w:szCs w:val="24"/>
          <w:u w:val="single"/>
        </w:rPr>
        <w:t xml:space="preserve">Blatella germânica</w:t>
      </w:r>
      <w:r>
        <w:rPr>
          <w:rFonts w:eastAsia="Arial" w:cs="Arial"/>
          <w:color w:val="000000"/>
          <w:sz w:val="24"/>
          <w:szCs w:val="24"/>
        </w:rPr>
        <w:t xml:space="preserve"> – Barata Doméstica</w:t>
      </w:r>
      <w:r>
        <w:rPr>
          <w:rFonts w:ascii="Arial" w:hAnsi="Arial" w:cs="Arial"/>
          <w:sz w:val="24"/>
          <w:szCs w:val="24"/>
        </w:rPr>
      </w:r>
    </w:p>
    <w:p>
      <w:pPr>
        <w:pStyle w:val="1210"/>
        <w:numPr>
          <w:ilvl w:val="0"/>
          <w:numId w:val="26"/>
        </w:numPr>
        <w:pBdr/>
        <w:spacing w:line="360" w:lineRule="auto"/>
        <w:ind/>
        <w:jc w:val="both"/>
        <w:rPr>
          <w:rFonts w:ascii="Arial" w:hAnsi="Arial" w:cs="Arial"/>
          <w:sz w:val="24"/>
          <w:szCs w:val="24"/>
        </w:rPr>
      </w:pPr>
      <w:r>
        <w:rPr>
          <w:rFonts w:eastAsia="Arial" w:cs="Arial"/>
          <w:i/>
          <w:color w:val="000000"/>
          <w:sz w:val="24"/>
          <w:szCs w:val="24"/>
          <w:u w:val="single"/>
        </w:rPr>
        <w:t xml:space="preserve">Mus musculos</w:t>
      </w:r>
      <w:r>
        <w:rPr>
          <w:rFonts w:eastAsia="Arial" w:cs="Arial"/>
          <w:color w:val="000000"/>
          <w:sz w:val="24"/>
          <w:szCs w:val="24"/>
        </w:rPr>
        <w:t xml:space="preserve"> – Camundongo</w:t>
      </w:r>
      <w:r>
        <w:rPr>
          <w:rFonts w:ascii="Arial" w:hAnsi="Arial" w:cs="Arial"/>
          <w:sz w:val="24"/>
          <w:szCs w:val="24"/>
        </w:rPr>
      </w:r>
    </w:p>
    <w:p>
      <w:pPr>
        <w:pStyle w:val="1210"/>
        <w:numPr>
          <w:ilvl w:val="0"/>
          <w:numId w:val="26"/>
        </w:numPr>
        <w:pBdr/>
        <w:spacing w:line="360" w:lineRule="auto"/>
        <w:ind/>
        <w:jc w:val="both"/>
        <w:rPr>
          <w:rFonts w:ascii="Arial" w:hAnsi="Arial" w:cs="Arial"/>
          <w:sz w:val="24"/>
          <w:szCs w:val="24"/>
        </w:rPr>
      </w:pPr>
      <w:r>
        <w:rPr>
          <w:rFonts w:eastAsia="Arial" w:cs="Arial"/>
          <w:i/>
          <w:color w:val="000000"/>
          <w:sz w:val="24"/>
          <w:szCs w:val="24"/>
          <w:u w:val="single"/>
        </w:rPr>
        <w:t xml:space="preserve">Rattus novergicos</w:t>
      </w:r>
      <w:r>
        <w:rPr>
          <w:rFonts w:eastAsia="Arial" w:cs="Arial"/>
          <w:color w:val="000000"/>
          <w:sz w:val="24"/>
          <w:szCs w:val="24"/>
        </w:rPr>
        <w:t xml:space="preserve"> – Ratazana</w:t>
      </w:r>
      <w:r>
        <w:rPr>
          <w:rFonts w:ascii="Arial" w:hAnsi="Arial" w:cs="Arial"/>
          <w:sz w:val="24"/>
          <w:szCs w:val="24"/>
        </w:rPr>
      </w:r>
    </w:p>
    <w:p>
      <w:pPr>
        <w:pStyle w:val="1210"/>
        <w:numPr>
          <w:ilvl w:val="0"/>
          <w:numId w:val="26"/>
        </w:numPr>
        <w:pBdr/>
        <w:spacing w:line="360" w:lineRule="auto"/>
        <w:ind/>
        <w:jc w:val="both"/>
        <w:rPr>
          <w:rFonts w:ascii="Arial" w:hAnsi="Arial" w:cs="Arial"/>
          <w:sz w:val="24"/>
          <w:szCs w:val="24"/>
        </w:rPr>
      </w:pPr>
      <w:r>
        <w:rPr>
          <w:rFonts w:eastAsia="Arial" w:cs="Arial"/>
          <w:i/>
          <w:color w:val="000000"/>
          <w:sz w:val="24"/>
          <w:szCs w:val="24"/>
          <w:u w:val="single"/>
        </w:rPr>
        <w:t xml:space="preserve">Rattus rattus</w:t>
      </w:r>
      <w:r>
        <w:rPr>
          <w:rFonts w:eastAsia="Arial" w:cs="Arial"/>
          <w:color w:val="000000"/>
          <w:sz w:val="24"/>
          <w:szCs w:val="24"/>
        </w:rPr>
        <w:t xml:space="preserve"> – Rato de Telhado</w:t>
      </w:r>
      <w:r>
        <w:rPr>
          <w:rFonts w:ascii="Arial" w:hAnsi="Arial" w:cs="Arial"/>
          <w:sz w:val="24"/>
          <w:szCs w:val="24"/>
        </w:rPr>
      </w:r>
    </w:p>
    <w:p>
      <w:pPr>
        <w:pStyle w:val="1210"/>
        <w:numPr>
          <w:ilvl w:val="0"/>
          <w:numId w:val="26"/>
        </w:numPr>
        <w:pBdr/>
        <w:spacing w:line="360" w:lineRule="auto"/>
        <w:ind/>
        <w:jc w:val="both"/>
        <w:rPr>
          <w:rFonts w:ascii="Arial" w:hAnsi="Arial" w:cs="Arial"/>
          <w:sz w:val="24"/>
          <w:szCs w:val="24"/>
        </w:rPr>
      </w:pPr>
      <w:r>
        <w:rPr>
          <w:rFonts w:eastAsia="Arial" w:cs="Arial"/>
          <w:color w:val="000000"/>
          <w:sz w:val="24"/>
          <w:szCs w:val="24"/>
        </w:rPr>
        <w:t xml:space="preserve">Formigas </w:t>
      </w:r>
      <w:r>
        <w:rPr>
          <w:rFonts w:ascii="Arial" w:hAnsi="Arial" w:cs="Arial"/>
          <w:sz w:val="24"/>
          <w:szCs w:val="24"/>
        </w:rPr>
      </w:r>
    </w:p>
    <w:p>
      <w:pPr>
        <w:pStyle w:val="1210"/>
        <w:numPr>
          <w:ilvl w:val="0"/>
          <w:numId w:val="26"/>
        </w:numPr>
        <w:pBdr/>
        <w:spacing w:line="360" w:lineRule="auto"/>
        <w:ind/>
        <w:jc w:val="both"/>
        <w:rPr>
          <w:rFonts w:ascii="Arial" w:hAnsi="Arial" w:cs="Arial"/>
          <w:sz w:val="24"/>
          <w:szCs w:val="24"/>
        </w:rPr>
      </w:pPr>
      <w:r>
        <w:rPr>
          <w:rFonts w:eastAsia="Arial" w:cs="Arial"/>
          <w:color w:val="000000"/>
          <w:sz w:val="24"/>
          <w:szCs w:val="24"/>
        </w:rPr>
        <w:t xml:space="preserve">Mosquitos</w:t>
      </w:r>
      <w:r>
        <w:rPr>
          <w:rFonts w:ascii="Arial" w:hAnsi="Arial" w:cs="Arial"/>
          <w:sz w:val="24"/>
          <w:szCs w:val="24"/>
        </w:rPr>
      </w:r>
    </w:p>
    <w:p>
      <w:pPr>
        <w:pStyle w:val="1210"/>
        <w:numPr>
          <w:ilvl w:val="0"/>
          <w:numId w:val="26"/>
        </w:numPr>
        <w:pBdr/>
        <w:spacing w:line="360" w:lineRule="auto"/>
        <w:ind/>
        <w:jc w:val="both"/>
        <w:rPr>
          <w:rFonts w:ascii="Arial" w:hAnsi="Arial" w:cs="Arial"/>
          <w:sz w:val="24"/>
          <w:szCs w:val="24"/>
        </w:rPr>
      </w:pPr>
      <w:r>
        <w:rPr>
          <w:rFonts w:eastAsia="Arial" w:cs="Arial"/>
          <w:color w:val="000000"/>
          <w:sz w:val="24"/>
          <w:szCs w:val="24"/>
        </w:rPr>
        <w:t xml:space="preserve">Pulgas</w:t>
      </w:r>
      <w:r>
        <w:rPr>
          <w:rFonts w:ascii="Arial" w:hAnsi="Arial" w:cs="Arial"/>
          <w:sz w:val="24"/>
          <w:szCs w:val="24"/>
        </w:rPr>
      </w:r>
    </w:p>
    <w:p>
      <w:pPr>
        <w:pStyle w:val="1210"/>
        <w:numPr>
          <w:ilvl w:val="0"/>
          <w:numId w:val="26"/>
        </w:numPr>
        <w:pBdr/>
        <w:spacing w:line="360" w:lineRule="auto"/>
        <w:ind/>
        <w:jc w:val="both"/>
        <w:rPr>
          <w:rFonts w:ascii="Arial" w:hAnsi="Arial" w:cs="Arial"/>
          <w:sz w:val="24"/>
          <w:szCs w:val="24"/>
        </w:rPr>
      </w:pPr>
      <w:r>
        <w:rPr>
          <w:rFonts w:eastAsia="Arial" w:cs="Arial"/>
          <w:color w:val="000000"/>
          <w:sz w:val="24"/>
          <w:szCs w:val="24"/>
        </w:rPr>
        <w:t xml:space="preserve">Cupins – Coptotermes Gestrói e Cryptotermes Brevis.</w:t>
      </w:r>
      <w:r>
        <w:rPr>
          <w:rFonts w:ascii="Arial" w:hAnsi="Arial" w:cs="Arial"/>
          <w:sz w:val="24"/>
          <w:szCs w:val="24"/>
        </w:rPr>
      </w:r>
    </w:p>
    <w:p>
      <w:pPr>
        <w:pStyle w:val="1056"/>
        <w:pBdr/>
        <w:spacing w:line="360" w:lineRule="auto"/>
        <w:ind/>
        <w:jc w:val="both"/>
        <w:rPr>
          <w:rFonts w:ascii="Arial" w:hAnsi="Arial" w:cs="Arial"/>
          <w:sz w:val="24"/>
          <w:szCs w:val="24"/>
        </w:rPr>
      </w:pPr>
      <w:r>
        <w:rPr>
          <w:rFonts w:eastAsia="Arial" w:cs="Arial"/>
          <w:b/>
          <w:color w:val="000000"/>
          <w:sz w:val="24"/>
          <w:szCs w:val="24"/>
        </w:rPr>
        <w:t xml:space="preserve">6.1.21.2. METODOLOGIAS</w:t>
      </w:r>
      <w:r>
        <w:rPr>
          <w:rFonts w:ascii="Arial" w:hAnsi="Arial" w:cs="Arial"/>
          <w:sz w:val="24"/>
          <w:szCs w:val="24"/>
        </w:rPr>
      </w:r>
    </w:p>
    <w:p>
      <w:pPr>
        <w:pStyle w:val="1056"/>
        <w:pBdr/>
        <w:spacing w:line="360" w:lineRule="auto"/>
        <w:ind/>
        <w:jc w:val="both"/>
        <w:rPr>
          <w:rFonts w:ascii="Arial" w:hAnsi="Arial" w:cs="Arial"/>
          <w:sz w:val="24"/>
          <w:szCs w:val="24"/>
        </w:rPr>
      </w:pPr>
      <w:r>
        <w:rPr>
          <w:rFonts w:eastAsia="Arial" w:cs="Arial"/>
          <w:b/>
          <w:color w:val="000000"/>
          <w:sz w:val="24"/>
          <w:szCs w:val="24"/>
        </w:rPr>
        <w:t xml:space="preserve">6.1.21.2.1. CONTROLE DE ROEDORES – DESRATIZAÇÃO:</w:t>
      </w:r>
      <w:r>
        <w:rPr>
          <w:rFonts w:ascii="Arial" w:hAnsi="Arial" w:cs="Arial"/>
          <w:sz w:val="24"/>
          <w:szCs w:val="24"/>
        </w:rPr>
      </w:r>
    </w:p>
    <w:p>
      <w:pPr>
        <w:pStyle w:val="1210"/>
        <w:numPr>
          <w:ilvl w:val="0"/>
          <w:numId w:val="27"/>
        </w:numPr>
        <w:pBdr/>
        <w:spacing w:line="360" w:lineRule="auto"/>
        <w:ind/>
        <w:jc w:val="both"/>
        <w:rPr>
          <w:rFonts w:ascii="Arial" w:hAnsi="Arial" w:cs="Arial"/>
          <w:sz w:val="24"/>
          <w:szCs w:val="24"/>
        </w:rPr>
      </w:pPr>
      <w:r>
        <w:rPr>
          <w:rFonts w:eastAsia="Arial" w:cs="Arial"/>
          <w:color w:val="000000"/>
          <w:sz w:val="24"/>
          <w:szCs w:val="24"/>
        </w:rPr>
        <w:t xml:space="preserve">Através de dispositivo de controle</w:t>
      </w:r>
      <w:r>
        <w:rPr>
          <w:rFonts w:ascii="Arial" w:hAnsi="Arial" w:cs="Arial"/>
          <w:sz w:val="24"/>
          <w:szCs w:val="24"/>
        </w:rPr>
      </w:r>
    </w:p>
    <w:p>
      <w:pPr>
        <w:pStyle w:val="1210"/>
        <w:numPr>
          <w:ilvl w:val="0"/>
          <w:numId w:val="27"/>
        </w:numPr>
        <w:pBdr/>
        <w:spacing w:line="360" w:lineRule="auto"/>
        <w:ind/>
        <w:jc w:val="both"/>
        <w:rPr>
          <w:rFonts w:ascii="Arial" w:hAnsi="Arial" w:cs="Arial"/>
          <w:sz w:val="24"/>
          <w:szCs w:val="24"/>
        </w:rPr>
      </w:pPr>
      <w:r>
        <w:rPr>
          <w:rFonts w:eastAsia="Arial" w:cs="Arial"/>
          <w:color w:val="000000"/>
          <w:sz w:val="24"/>
          <w:szCs w:val="24"/>
        </w:rPr>
        <w:t xml:space="preserve">Área externa: Caixa porta-isca, porta isca de jardim.</w:t>
      </w:r>
      <w:r>
        <w:rPr>
          <w:rFonts w:ascii="Arial" w:hAnsi="Arial" w:cs="Arial"/>
          <w:sz w:val="24"/>
          <w:szCs w:val="24"/>
        </w:rPr>
      </w:r>
    </w:p>
    <w:p>
      <w:pPr>
        <w:pStyle w:val="1210"/>
        <w:numPr>
          <w:ilvl w:val="0"/>
          <w:numId w:val="27"/>
        </w:numPr>
        <w:pBdr/>
        <w:spacing w:line="360" w:lineRule="auto"/>
        <w:ind/>
        <w:jc w:val="both"/>
        <w:rPr>
          <w:rFonts w:ascii="Arial" w:hAnsi="Arial" w:cs="Arial"/>
          <w:sz w:val="24"/>
          <w:szCs w:val="24"/>
        </w:rPr>
      </w:pPr>
      <w:r>
        <w:rPr>
          <w:rFonts w:eastAsia="Arial" w:cs="Arial"/>
          <w:color w:val="000000"/>
          <w:sz w:val="24"/>
          <w:szCs w:val="24"/>
        </w:rPr>
        <w:t xml:space="preserve">Área interna: Caixa porta isca.</w:t>
      </w:r>
      <w:r>
        <w:rPr>
          <w:rFonts w:ascii="Arial" w:hAnsi="Arial" w:cs="Arial"/>
          <w:sz w:val="24"/>
          <w:szCs w:val="24"/>
        </w:rPr>
      </w:r>
    </w:p>
    <w:p>
      <w:pPr>
        <w:pStyle w:val="1210"/>
        <w:numPr>
          <w:ilvl w:val="0"/>
          <w:numId w:val="27"/>
        </w:numPr>
        <w:pBdr/>
        <w:spacing w:line="360" w:lineRule="auto"/>
        <w:ind/>
        <w:jc w:val="both"/>
        <w:rPr>
          <w:rFonts w:ascii="Arial" w:hAnsi="Arial" w:cs="Arial"/>
          <w:sz w:val="24"/>
          <w:szCs w:val="24"/>
        </w:rPr>
      </w:pPr>
      <w:r>
        <w:rPr>
          <w:rFonts w:eastAsia="Arial" w:cs="Arial"/>
          <w:color w:val="000000"/>
          <w:sz w:val="24"/>
          <w:szCs w:val="24"/>
        </w:rPr>
        <w:t xml:space="preserve">Caso alguns destes equipamentos sejam extraviados ou danificados serão reinstalados.</w:t>
      </w:r>
      <w:r>
        <w:rPr>
          <w:rFonts w:ascii="Arial" w:hAnsi="Arial" w:cs="Arial"/>
          <w:sz w:val="24"/>
          <w:szCs w:val="24"/>
        </w:rPr>
      </w:r>
    </w:p>
    <w:p>
      <w:pPr>
        <w:pStyle w:val="1056"/>
        <w:pBdr/>
        <w:spacing w:line="360" w:lineRule="auto"/>
        <w:ind/>
        <w:rPr>
          <w:rFonts w:ascii="Arial" w:hAnsi="Arial" w:cs="Arial"/>
          <w:sz w:val="24"/>
          <w:szCs w:val="24"/>
        </w:rPr>
      </w:pPr>
      <w:r>
        <w:rPr>
          <w:rFonts w:eastAsia="Arial" w:cs="Arial"/>
          <w:b/>
          <w:color w:val="000000"/>
          <w:sz w:val="24"/>
          <w:szCs w:val="24"/>
        </w:rPr>
        <w:t xml:space="preserve">Ratazanas (</w:t>
      </w:r>
      <w:r>
        <w:rPr>
          <w:rFonts w:eastAsia="Arial" w:cs="Arial"/>
          <w:i/>
          <w:color w:val="000000"/>
          <w:sz w:val="24"/>
          <w:szCs w:val="24"/>
          <w:u w:val="single"/>
        </w:rPr>
        <w:t xml:space="preserve">Rattus novergicus</w:t>
      </w:r>
      <w:r>
        <w:rPr>
          <w:rFonts w:eastAsia="Arial" w:cs="Arial"/>
          <w:b/>
          <w:color w:val="000000"/>
          <w:sz w:val="24"/>
          <w:szCs w:val="24"/>
        </w:rPr>
        <w:t xml:space="preserve">), Camundongos (</w:t>
      </w:r>
      <w:r>
        <w:rPr>
          <w:rFonts w:eastAsia="Arial" w:cs="Arial"/>
          <w:i/>
          <w:color w:val="000000"/>
          <w:sz w:val="24"/>
          <w:szCs w:val="24"/>
          <w:u w:val="single"/>
        </w:rPr>
        <w:t xml:space="preserve">Mus musculus</w:t>
      </w:r>
      <w:r>
        <w:rPr>
          <w:rFonts w:eastAsia="Arial" w:cs="Arial"/>
          <w:b/>
          <w:color w:val="000000"/>
          <w:sz w:val="24"/>
          <w:szCs w:val="24"/>
        </w:rPr>
        <w:t xml:space="preserve">) e Ratos de Telhado (</w:t>
      </w:r>
      <w:r>
        <w:rPr>
          <w:rFonts w:eastAsia="Arial" w:cs="Arial"/>
          <w:i/>
          <w:color w:val="000000"/>
          <w:sz w:val="24"/>
          <w:szCs w:val="24"/>
          <w:u w:val="single"/>
        </w:rPr>
        <w:t xml:space="preserve">Rattus rattus</w:t>
      </w:r>
      <w:r>
        <w:rPr>
          <w:rFonts w:eastAsia="Arial" w:cs="Arial"/>
          <w:b/>
          <w:color w:val="000000"/>
          <w:sz w:val="24"/>
          <w:szCs w:val="24"/>
        </w:rPr>
        <w:t xml:space="preserve">).</w:t>
      </w:r>
      <w:r>
        <w:rPr>
          <w:rFonts w:ascii="Arial" w:hAnsi="Arial" w:cs="Arial"/>
          <w:sz w:val="24"/>
          <w:szCs w:val="24"/>
        </w:rPr>
      </w:r>
    </w:p>
    <w:p>
      <w:pPr>
        <w:pStyle w:val="1056"/>
        <w:pBdr/>
        <w:spacing w:line="360" w:lineRule="auto"/>
        <w:ind/>
        <w:rPr>
          <w:rFonts w:ascii="Arial" w:hAnsi="Arial" w:cs="Arial"/>
          <w:sz w:val="24"/>
          <w:szCs w:val="24"/>
        </w:rPr>
      </w:pPr>
      <w:r>
        <w:rPr>
          <w:rFonts w:eastAsia="Arial" w:cs="Arial"/>
          <w:b/>
          <w:color w:val="000000"/>
          <w:sz w:val="24"/>
          <w:szCs w:val="24"/>
        </w:rPr>
        <w:t xml:space="preserve">Granuladas:</w:t>
      </w:r>
      <w:r>
        <w:rPr>
          <w:rFonts w:ascii="Arial" w:hAnsi="Arial" w:cs="Arial"/>
          <w:sz w:val="24"/>
          <w:szCs w:val="24"/>
        </w:rPr>
      </w:r>
    </w:p>
    <w:p>
      <w:pPr>
        <w:pStyle w:val="1210"/>
        <w:numPr>
          <w:ilvl w:val="0"/>
          <w:numId w:val="28"/>
        </w:numPr>
        <w:pBdr/>
        <w:spacing w:line="360" w:lineRule="auto"/>
        <w:ind/>
        <w:jc w:val="both"/>
        <w:rPr>
          <w:rFonts w:ascii="Arial" w:hAnsi="Arial" w:cs="Arial"/>
          <w:sz w:val="24"/>
          <w:szCs w:val="24"/>
        </w:rPr>
      </w:pPr>
      <w:r>
        <w:rPr>
          <w:rFonts w:eastAsia="Arial" w:cs="Arial"/>
          <w:color w:val="000000"/>
          <w:sz w:val="24"/>
          <w:szCs w:val="24"/>
        </w:rPr>
        <w:t xml:space="preserve">Constituem-se em pellets fechados de plásticos contendo quantidades que devem ser aplicadas em cada ponto da área tratada.</w:t>
      </w:r>
      <w:r>
        <w:rPr>
          <w:rFonts w:ascii="Arial" w:hAnsi="Arial" w:cs="Arial"/>
          <w:sz w:val="24"/>
          <w:szCs w:val="24"/>
        </w:rPr>
      </w:r>
    </w:p>
    <w:p>
      <w:pPr>
        <w:pStyle w:val="1056"/>
        <w:pBdr/>
        <w:spacing w:line="360" w:lineRule="auto"/>
        <w:ind/>
        <w:jc w:val="both"/>
        <w:rPr>
          <w:rFonts w:ascii="Arial" w:hAnsi="Arial" w:cs="Arial"/>
          <w:sz w:val="24"/>
          <w:szCs w:val="24"/>
        </w:rPr>
      </w:pPr>
      <w:r>
        <w:rPr>
          <w:rFonts w:eastAsia="Arial" w:cs="Arial"/>
          <w:b/>
          <w:color w:val="000000"/>
          <w:sz w:val="24"/>
          <w:szCs w:val="24"/>
        </w:rPr>
        <w:t xml:space="preserve">Blocos Sólidos:</w:t>
      </w:r>
      <w:r>
        <w:rPr>
          <w:rFonts w:ascii="Arial" w:hAnsi="Arial" w:cs="Arial"/>
          <w:sz w:val="24"/>
          <w:szCs w:val="24"/>
        </w:rPr>
      </w:r>
    </w:p>
    <w:p>
      <w:pPr>
        <w:pStyle w:val="1210"/>
        <w:numPr>
          <w:ilvl w:val="0"/>
          <w:numId w:val="29"/>
        </w:numPr>
        <w:pBdr/>
        <w:spacing w:line="360" w:lineRule="auto"/>
        <w:ind/>
        <w:jc w:val="both"/>
        <w:rPr>
          <w:rFonts w:ascii="Arial" w:hAnsi="Arial" w:cs="Arial"/>
          <w:sz w:val="24"/>
          <w:szCs w:val="24"/>
        </w:rPr>
      </w:pPr>
      <w:r>
        <w:rPr>
          <w:rFonts w:eastAsia="Arial" w:cs="Arial"/>
          <w:color w:val="000000"/>
          <w:sz w:val="24"/>
          <w:szCs w:val="24"/>
        </w:rPr>
        <w:t xml:space="preserve">Podem ser empregados com sucesso não só em esgotos ou galerias subterrâneas, mas também em armazéns, depósitos, canais de irrigação, etc., por serem resistentes à umidade.</w:t>
      </w:r>
      <w:r>
        <w:rPr>
          <w:rFonts w:ascii="Arial" w:hAnsi="Arial" w:cs="Arial"/>
          <w:sz w:val="24"/>
          <w:szCs w:val="24"/>
        </w:rPr>
      </w:r>
    </w:p>
    <w:p>
      <w:pPr>
        <w:pStyle w:val="1056"/>
        <w:pBdr/>
        <w:spacing w:line="360" w:lineRule="auto"/>
        <w:ind w:left="720"/>
        <w:jc w:val="both"/>
        <w:rPr>
          <w:rFonts w:ascii="Arial" w:hAnsi="Arial" w:cs="Arial"/>
          <w:sz w:val="24"/>
          <w:szCs w:val="24"/>
        </w:rPr>
      </w:pPr>
      <w:r>
        <w:rPr>
          <w:rFonts w:cs="Arial"/>
          <w:sz w:val="24"/>
          <w:szCs w:val="24"/>
        </w:rPr>
      </w:r>
      <w:r>
        <w:rPr>
          <w:rFonts w:ascii="Arial" w:hAnsi="Arial" w:cs="Arial"/>
          <w:sz w:val="24"/>
          <w:szCs w:val="24"/>
        </w:rPr>
      </w:r>
    </w:p>
    <w:p>
      <w:pPr>
        <w:pStyle w:val="1056"/>
        <w:pBdr/>
        <w:spacing w:line="360" w:lineRule="auto"/>
        <w:ind/>
        <w:jc w:val="both"/>
        <w:rPr>
          <w:rFonts w:ascii="Arial" w:hAnsi="Arial" w:cs="Arial"/>
          <w:sz w:val="24"/>
          <w:szCs w:val="24"/>
        </w:rPr>
      </w:pPr>
      <w:r>
        <w:rPr>
          <w:rFonts w:eastAsia="Arial" w:cs="Arial"/>
          <w:b/>
          <w:color w:val="000000"/>
          <w:sz w:val="24"/>
          <w:szCs w:val="24"/>
        </w:rPr>
        <w:t xml:space="preserve">6.1.21.2.2. CONTROLE DE BARATAS, PULGAS, MOSQUITOS E FORMIGAS – DESINSETIZAÇÃO:</w:t>
      </w:r>
      <w:r>
        <w:rPr>
          <w:rFonts w:ascii="Arial" w:hAnsi="Arial" w:cs="Arial"/>
          <w:sz w:val="24"/>
          <w:szCs w:val="24"/>
        </w:rPr>
      </w:r>
    </w:p>
    <w:p>
      <w:pPr>
        <w:pStyle w:val="1210"/>
        <w:numPr>
          <w:ilvl w:val="0"/>
          <w:numId w:val="30"/>
        </w:numPr>
        <w:pBdr/>
        <w:spacing w:line="360" w:lineRule="auto"/>
        <w:ind/>
        <w:jc w:val="both"/>
        <w:rPr>
          <w:rFonts w:ascii="Arial" w:hAnsi="Arial" w:cs="Arial"/>
          <w:sz w:val="24"/>
          <w:szCs w:val="24"/>
        </w:rPr>
      </w:pPr>
      <w:r>
        <w:rPr>
          <w:rFonts w:eastAsia="Arial" w:cs="Arial"/>
          <w:color w:val="000000"/>
          <w:sz w:val="24"/>
          <w:szCs w:val="24"/>
        </w:rPr>
        <w:t xml:space="preserve">Sistema de esgoto e perímetro externo das construções (rodapés): por meio de pulverizações, utilizando produtos com alto poder residual e inodoro.</w:t>
      </w:r>
      <w:r>
        <w:rPr>
          <w:rFonts w:ascii="Arial" w:hAnsi="Arial" w:cs="Arial"/>
          <w:sz w:val="24"/>
          <w:szCs w:val="24"/>
        </w:rPr>
      </w:r>
    </w:p>
    <w:p>
      <w:pPr>
        <w:pStyle w:val="1210"/>
        <w:numPr>
          <w:ilvl w:val="0"/>
          <w:numId w:val="30"/>
        </w:numPr>
        <w:pBdr/>
        <w:spacing w:line="360" w:lineRule="auto"/>
        <w:ind/>
        <w:jc w:val="both"/>
        <w:rPr>
          <w:rFonts w:ascii="Arial" w:hAnsi="Arial" w:cs="Arial"/>
          <w:sz w:val="24"/>
          <w:szCs w:val="24"/>
        </w:rPr>
      </w:pPr>
      <w:r>
        <w:rPr>
          <w:rFonts w:eastAsia="Arial" w:cs="Arial"/>
          <w:color w:val="000000"/>
          <w:sz w:val="24"/>
          <w:szCs w:val="24"/>
        </w:rPr>
        <w:t xml:space="preserve">Áreas administrativas e clinicas: Aplicação de gel baraticida e formicida.</w:t>
      </w:r>
      <w:r>
        <w:rPr>
          <w:rFonts w:ascii="Arial" w:hAnsi="Arial" w:cs="Arial"/>
          <w:sz w:val="24"/>
          <w:szCs w:val="24"/>
        </w:rPr>
      </w:r>
    </w:p>
    <w:p>
      <w:pPr>
        <w:pStyle w:val="1210"/>
        <w:numPr>
          <w:ilvl w:val="0"/>
          <w:numId w:val="30"/>
        </w:numPr>
        <w:pBdr/>
        <w:spacing w:line="360" w:lineRule="auto"/>
        <w:ind/>
        <w:jc w:val="both"/>
        <w:rPr>
          <w:rFonts w:ascii="Arial" w:hAnsi="Arial" w:cs="Arial"/>
          <w:sz w:val="24"/>
          <w:szCs w:val="24"/>
        </w:rPr>
      </w:pPr>
      <w:r>
        <w:rPr>
          <w:rFonts w:eastAsia="Arial" w:cs="Arial"/>
          <w:color w:val="000000"/>
          <w:sz w:val="24"/>
          <w:szCs w:val="24"/>
        </w:rPr>
        <w:t xml:space="preserve">Cozinha e refeitório: Pulverização com produtos inodoros e com baixo efeito residual como também utilização de gel baraticida e formicida.</w:t>
      </w:r>
      <w:r>
        <w:rPr>
          <w:rFonts w:ascii="Arial" w:hAnsi="Arial" w:cs="Arial"/>
          <w:sz w:val="24"/>
          <w:szCs w:val="24"/>
        </w:rPr>
      </w:r>
    </w:p>
    <w:p>
      <w:pPr>
        <w:pStyle w:val="1210"/>
        <w:numPr>
          <w:ilvl w:val="0"/>
          <w:numId w:val="30"/>
        </w:numPr>
        <w:pBdr/>
        <w:spacing w:line="360" w:lineRule="auto"/>
        <w:ind/>
        <w:jc w:val="both"/>
        <w:rPr>
          <w:rFonts w:ascii="Arial" w:hAnsi="Arial" w:cs="Arial"/>
          <w:sz w:val="24"/>
          <w:szCs w:val="24"/>
        </w:rPr>
      </w:pPr>
      <w:r>
        <w:rPr>
          <w:rFonts w:eastAsia="Arial" w:cs="Arial"/>
          <w:color w:val="000000"/>
          <w:sz w:val="24"/>
          <w:szCs w:val="24"/>
        </w:rPr>
        <w:t xml:space="preserve">Sistema elétrico e de motores: Polvilhamento com pó baraticida e formicida sem cheiro. </w:t>
      </w:r>
      <w:r>
        <w:rPr>
          <w:rFonts w:ascii="Arial" w:hAnsi="Arial" w:cs="Arial"/>
          <w:sz w:val="24"/>
          <w:szCs w:val="24"/>
        </w:rPr>
      </w:r>
    </w:p>
    <w:p>
      <w:pPr>
        <w:pStyle w:val="1056"/>
        <w:pBdr/>
        <w:spacing w:line="360" w:lineRule="auto"/>
        <w:ind/>
        <w:jc w:val="center"/>
        <w:rPr>
          <w:rFonts w:ascii="Arial" w:hAnsi="Arial" w:cs="Arial"/>
          <w:sz w:val="24"/>
          <w:szCs w:val="24"/>
        </w:rPr>
      </w:pPr>
      <w:r>
        <w:rPr>
          <w:rFonts w:eastAsia="Arial" w:cs="Arial"/>
          <w:b/>
          <w:color w:val="000000"/>
          <w:sz w:val="24"/>
          <w:szCs w:val="24"/>
        </w:rPr>
        <w:t xml:space="preserve">Baratas (</w:t>
      </w:r>
      <w:r>
        <w:rPr>
          <w:rFonts w:eastAsia="Arial" w:cs="Arial"/>
          <w:i/>
          <w:color w:val="000000"/>
          <w:sz w:val="24"/>
          <w:szCs w:val="24"/>
          <w:u w:val="single"/>
        </w:rPr>
        <w:t xml:space="preserve">Periplaneta americana</w:t>
      </w:r>
      <w:r>
        <w:rPr>
          <w:rFonts w:eastAsia="Arial" w:cs="Arial"/>
          <w:b/>
          <w:color w:val="000000"/>
          <w:sz w:val="24"/>
          <w:szCs w:val="24"/>
        </w:rPr>
        <w:t xml:space="preserve">) </w:t>
      </w:r>
      <w:r>
        <w:rPr>
          <w:rFonts w:eastAsia="Arial" w:cs="Arial"/>
          <w:color w:val="000000"/>
          <w:sz w:val="24"/>
          <w:szCs w:val="24"/>
        </w:rPr>
        <w:t xml:space="preserve">e</w:t>
      </w:r>
      <w:r>
        <w:rPr>
          <w:rFonts w:eastAsia="Arial" w:cs="Arial"/>
          <w:b/>
          <w:color w:val="000000"/>
          <w:sz w:val="24"/>
          <w:szCs w:val="24"/>
        </w:rPr>
        <w:t xml:space="preserve">(</w:t>
      </w:r>
      <w:r>
        <w:rPr>
          <w:rFonts w:eastAsia="Arial" w:cs="Arial"/>
          <w:i/>
          <w:color w:val="000000"/>
          <w:sz w:val="24"/>
          <w:szCs w:val="24"/>
          <w:u w:val="single"/>
        </w:rPr>
        <w:t xml:space="preserve">Battella germânica</w:t>
      </w:r>
      <w:r>
        <w:rPr>
          <w:rFonts w:eastAsia="Arial" w:cs="Arial"/>
          <w:b/>
          <w:color w:val="000000"/>
          <w:sz w:val="24"/>
          <w:szCs w:val="24"/>
        </w:rPr>
        <w:t xml:space="preserve">), e formigas.</w:t>
      </w:r>
      <w:r>
        <w:rPr>
          <w:rFonts w:ascii="Arial" w:hAnsi="Arial" w:cs="Arial"/>
          <w:sz w:val="24"/>
          <w:szCs w:val="24"/>
        </w:rPr>
      </w:r>
    </w:p>
    <w:p>
      <w:pPr>
        <w:pStyle w:val="1210"/>
        <w:numPr>
          <w:ilvl w:val="0"/>
          <w:numId w:val="31"/>
        </w:numPr>
        <w:pBdr/>
        <w:spacing w:line="360" w:lineRule="auto"/>
        <w:ind/>
        <w:jc w:val="both"/>
        <w:rPr>
          <w:rFonts w:ascii="Arial" w:hAnsi="Arial" w:cs="Arial"/>
          <w:sz w:val="24"/>
          <w:szCs w:val="24"/>
        </w:rPr>
      </w:pPr>
      <w:r>
        <w:rPr>
          <w:rFonts w:eastAsia="Arial" w:cs="Arial"/>
          <w:color w:val="000000"/>
          <w:sz w:val="24"/>
          <w:szCs w:val="24"/>
        </w:rPr>
        <w:t xml:space="preserve">Aplicação de pequenas quantidades de gel, com auxílio de aparelhos exclusivo de alta precisão. Essas gotas de gel atraem as baratas em uma distância de até um metro do ponto de aplicação e a contaminação de outra</w:t>
      </w:r>
      <w:r>
        <w:rPr>
          <w:rFonts w:eastAsia="Arial" w:cs="Arial"/>
          <w:color w:val="000000"/>
          <w:sz w:val="24"/>
          <w:szCs w:val="24"/>
        </w:rPr>
        <w:t xml:space="preserve">s baratas se dá pelo canibalismo de carcaças ou pela ingestão de fezes de baratas contaminadas, o que gera a morte em cadeia. Essas gotas são aplicadas nas áreas onde as baratas se agregam, ou seja, festas, cavidades, cantos ou por onde elas se movimentam.</w:t>
      </w:r>
      <w:r>
        <w:rPr>
          <w:rFonts w:ascii="Arial" w:hAnsi="Arial" w:cs="Arial"/>
          <w:sz w:val="24"/>
          <w:szCs w:val="24"/>
        </w:rPr>
      </w:r>
    </w:p>
    <w:p>
      <w:pPr>
        <w:pStyle w:val="1210"/>
        <w:numPr>
          <w:ilvl w:val="0"/>
          <w:numId w:val="31"/>
        </w:numPr>
        <w:pBdr/>
        <w:spacing w:line="360" w:lineRule="auto"/>
        <w:ind/>
        <w:jc w:val="both"/>
        <w:rPr>
          <w:rFonts w:ascii="Arial" w:hAnsi="Arial" w:cs="Arial"/>
          <w:sz w:val="24"/>
          <w:szCs w:val="24"/>
        </w:rPr>
      </w:pPr>
      <w:r>
        <w:rPr>
          <w:rFonts w:eastAsia="Arial" w:cs="Arial"/>
          <w:color w:val="000000"/>
          <w:sz w:val="24"/>
          <w:szCs w:val="24"/>
        </w:rPr>
        <w:t xml:space="preserve">A aplicação com gel poderá ser realizada no horário normal. Poderá ser aplicado também inseticida inodoro, micro en</w:t>
      </w:r>
      <w:r>
        <w:rPr>
          <w:rFonts w:eastAsia="Arial" w:cs="Arial"/>
          <w:color w:val="000000"/>
          <w:sz w:val="24"/>
          <w:szCs w:val="24"/>
        </w:rPr>
        <w:t xml:space="preserve">capsulado, evitando os inconvenientes: paralisação das atividades, necessidade do pré-preparo da área e odor incômodo. O gel e a solução micro encapsulado são as mais eficientes para o controle profissional de baratas e formigas e outros insetos rasteiros.</w:t>
      </w:r>
      <w:r>
        <w:rPr>
          <w:rFonts w:ascii="Arial" w:hAnsi="Arial" w:cs="Arial"/>
          <w:sz w:val="24"/>
          <w:szCs w:val="24"/>
        </w:rPr>
      </w:r>
    </w:p>
    <w:p>
      <w:pPr>
        <w:pStyle w:val="1210"/>
        <w:numPr>
          <w:ilvl w:val="0"/>
          <w:numId w:val="31"/>
        </w:numPr>
        <w:pBdr/>
        <w:spacing w:line="360" w:lineRule="auto"/>
        <w:ind/>
        <w:jc w:val="both"/>
        <w:rPr>
          <w:rFonts w:ascii="Arial" w:hAnsi="Arial" w:cs="Arial"/>
          <w:sz w:val="24"/>
          <w:szCs w:val="24"/>
        </w:rPr>
      </w:pPr>
      <w:r>
        <w:rPr>
          <w:rFonts w:eastAsia="Arial" w:cs="Arial"/>
          <w:color w:val="000000"/>
          <w:sz w:val="24"/>
          <w:szCs w:val="24"/>
        </w:rPr>
        <w:t xml:space="preserve">A aplicação de cada inseticida de maneira u</w:t>
      </w:r>
      <w:r>
        <w:rPr>
          <w:rFonts w:eastAsia="Arial" w:cs="Arial"/>
          <w:color w:val="000000"/>
          <w:sz w:val="24"/>
          <w:szCs w:val="24"/>
        </w:rPr>
        <w:t xml:space="preserve">niforme sobre as superfícies, rodapés, na junção entre paredes e o piso, ralos e bueiros serão realizadas através de pulverizadores manuais, de forma que os insetos que os percorram sejam contaminados pelos microscópicos cristais dos inseticidas aplicados.</w:t>
      </w:r>
      <w:r>
        <w:rPr>
          <w:rFonts w:ascii="Arial" w:hAnsi="Arial" w:cs="Arial"/>
          <w:sz w:val="24"/>
          <w:szCs w:val="24"/>
        </w:rPr>
      </w:r>
    </w:p>
    <w:p>
      <w:pPr>
        <w:pStyle w:val="1056"/>
        <w:pBdr/>
        <w:spacing w:line="360" w:lineRule="auto"/>
        <w:ind/>
        <w:jc w:val="both"/>
        <w:rPr>
          <w:rFonts w:ascii="Arial" w:hAnsi="Arial" w:cs="Arial"/>
          <w:sz w:val="24"/>
          <w:szCs w:val="24"/>
        </w:rPr>
      </w:pPr>
      <w:r>
        <w:rPr>
          <w:rFonts w:eastAsia="Arial" w:cs="Arial"/>
          <w:b/>
          <w:color w:val="000000"/>
          <w:sz w:val="24"/>
          <w:szCs w:val="24"/>
        </w:rPr>
        <w:t xml:space="preserve">6.1.21.2.3. – CONTROLE DE CUPINS – DESCUPINIZAÇÃO.</w:t>
      </w:r>
      <w:r>
        <w:rPr>
          <w:rFonts w:ascii="Arial" w:hAnsi="Arial" w:cs="Arial"/>
          <w:sz w:val="24"/>
          <w:szCs w:val="24"/>
        </w:rPr>
      </w:r>
    </w:p>
    <w:p>
      <w:pPr>
        <w:pStyle w:val="1210"/>
        <w:numPr>
          <w:ilvl w:val="0"/>
          <w:numId w:val="32"/>
        </w:numPr>
        <w:pBdr/>
        <w:spacing w:line="360" w:lineRule="auto"/>
        <w:ind/>
        <w:jc w:val="both"/>
        <w:rPr>
          <w:rFonts w:ascii="Arial" w:hAnsi="Arial" w:cs="Arial"/>
          <w:sz w:val="24"/>
          <w:szCs w:val="24"/>
        </w:rPr>
      </w:pPr>
      <w:r>
        <w:rPr>
          <w:rFonts w:eastAsia="Arial" w:cs="Arial"/>
          <w:color w:val="000000"/>
          <w:sz w:val="24"/>
          <w:szCs w:val="24"/>
        </w:rPr>
        <w:t xml:space="preserve">Tratamento localizado, ou seja, pulverização ou in</w:t>
      </w:r>
      <w:r>
        <w:rPr>
          <w:rFonts w:eastAsia="Arial" w:cs="Arial"/>
          <w:color w:val="000000"/>
          <w:sz w:val="24"/>
          <w:szCs w:val="24"/>
        </w:rPr>
        <w:t xml:space="preserve">jeção de calda inseticida em pontos específicos, onde estejam ocorrendo infestação de acordo com avaliação prévia pela contratada. Esse tratamento será somente para cupins de madeira seca ou Cryptotermes Brevis e Cupins Subterrâneos ou Coptotermes Gestrói.</w:t>
      </w:r>
      <w:r>
        <w:rPr>
          <w:rFonts w:ascii="Arial" w:hAnsi="Arial" w:cs="Arial"/>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210"/>
        <w:widowControl w:val="false"/>
        <w:numPr>
          <w:ilvl w:val="1"/>
          <w:numId w:val="20"/>
        </w:numPr>
        <w:pBdr/>
        <w:spacing w:line="360" w:lineRule="auto"/>
        <w:ind/>
        <w:jc w:val="both"/>
        <w:rPr>
          <w:color w:val="000000"/>
          <w:sz w:val="24"/>
          <w:szCs w:val="24"/>
        </w:rPr>
      </w:pPr>
      <w:r>
        <w:rPr>
          <w:rFonts w:cs="Arial"/>
          <w:b/>
          <w:color w:val="000000"/>
          <w:sz w:val="24"/>
          <w:szCs w:val="24"/>
        </w:rPr>
        <w:t xml:space="preserve">DAS OBRIGAÇÕES DO ÓRGÃO SOLICITANTE</w:t>
      </w:r>
      <w:r>
        <w:rPr>
          <w:color w:val="000000"/>
          <w:sz w:val="24"/>
          <w:szCs w:val="24"/>
        </w:rPr>
      </w:r>
    </w:p>
    <w:p>
      <w:pPr>
        <w:pStyle w:val="1210"/>
        <w:widowControl w:val="false"/>
        <w:numPr>
          <w:ilvl w:val="2"/>
          <w:numId w:val="20"/>
        </w:numPr>
        <w:pBdr/>
        <w:spacing w:line="276" w:lineRule="auto"/>
        <w:ind/>
        <w:jc w:val="both"/>
        <w:rPr>
          <w:sz w:val="24"/>
          <w:szCs w:val="24"/>
        </w:rPr>
      </w:pPr>
      <w:r>
        <w:rPr>
          <w:rFonts w:cs="Arial"/>
          <w:color w:val="000000"/>
          <w:sz w:val="24"/>
          <w:szCs w:val="24"/>
        </w:rPr>
        <w:t xml:space="preserve">Compete a Secretaria Municipal de Administração cumprir todas as obrigações constantes no Termo de Referência, seus anexos e sua proposta, assumindo como exclusivamente seus os riscos e as despesas decorrentes da boa e perfeita execução do objeto e, ainda:</w:t>
      </w:r>
      <w:r>
        <w:rPr>
          <w:sz w:val="24"/>
          <w:szCs w:val="24"/>
        </w:rPr>
      </w:r>
    </w:p>
    <w:p>
      <w:pPr>
        <w:pStyle w:val="1056"/>
        <w:pBdr/>
        <w:spacing w:line="276" w:lineRule="auto"/>
        <w:ind w:firstLine="1416"/>
        <w:jc w:val="both"/>
        <w:rPr>
          <w:rFonts w:ascii="Arial" w:hAnsi="Arial" w:cs="Arial"/>
          <w:b/>
          <w:color w:val="000000"/>
          <w:sz w:val="24"/>
          <w:szCs w:val="24"/>
        </w:rPr>
      </w:pPr>
      <w:r>
        <w:rPr>
          <w:rFonts w:cs="Arial"/>
          <w:b/>
          <w:color w:val="000000"/>
          <w:sz w:val="24"/>
          <w:szCs w:val="24"/>
        </w:rPr>
      </w:r>
      <w:r>
        <w:rPr>
          <w:rFonts w:ascii="Arial" w:hAnsi="Arial" w:cs="Arial"/>
          <w:b/>
          <w:color w:val="000000"/>
          <w:sz w:val="24"/>
          <w:szCs w:val="24"/>
        </w:rPr>
      </w:r>
    </w:p>
    <w:p>
      <w:pPr>
        <w:pStyle w:val="1249"/>
        <w:widowControl w:val="false"/>
        <w:pBdr/>
        <w:tabs>
          <w:tab w:val="left" w:leader="none" w:pos="284"/>
          <w:tab w:val="clear" w:leader="none" w:pos="720"/>
          <w:tab w:val="left" w:leader="none" w:pos="1382"/>
        </w:tabs>
        <w:spacing w:after="0" w:before="0"/>
        <w:ind w:firstLine="397"/>
        <w:jc w:val="both"/>
        <w:rPr>
          <w:sz w:val="24"/>
          <w:szCs w:val="24"/>
        </w:rPr>
      </w:pPr>
      <w:r>
        <w:rPr>
          <w:rFonts w:ascii="Arial" w:hAnsi="Arial" w:eastAsia="Times New Roman"/>
          <w:b/>
          <w:bCs/>
          <w:color w:val="000000"/>
          <w:sz w:val="24"/>
          <w:szCs w:val="24"/>
          <w:lang w:eastAsia="pt-BR" w:bidi="ar-SA"/>
        </w:rPr>
        <w:t xml:space="preserve">6.2.1.1.</w:t>
      </w:r>
      <w:r>
        <w:rPr>
          <w:rFonts w:ascii="Arial" w:hAnsi="Arial" w:eastAsia="Times New Roman"/>
          <w:color w:val="000000"/>
          <w:sz w:val="24"/>
          <w:szCs w:val="24"/>
          <w:lang w:eastAsia="pt-BR" w:bidi="ar-SA"/>
        </w:rPr>
        <w:t xml:space="preserve"> Emitir nota de empenho;</w:t>
      </w:r>
      <w:r>
        <w:rPr>
          <w:sz w:val="24"/>
          <w:szCs w:val="24"/>
        </w:rPr>
      </w:r>
    </w:p>
    <w:p>
      <w:pPr>
        <w:pStyle w:val="1249"/>
        <w:widowControl w:val="false"/>
        <w:pBdr/>
        <w:tabs>
          <w:tab w:val="left" w:leader="none" w:pos="284"/>
          <w:tab w:val="clear" w:leader="none" w:pos="720"/>
          <w:tab w:val="left" w:leader="none" w:pos="1382"/>
        </w:tabs>
        <w:spacing w:after="0" w:before="0"/>
        <w:ind w:firstLine="397"/>
        <w:jc w:val="both"/>
        <w:rPr>
          <w:sz w:val="24"/>
          <w:szCs w:val="24"/>
        </w:rPr>
      </w:pPr>
      <w:r>
        <w:rPr>
          <w:rFonts w:ascii="Arial" w:hAnsi="Arial" w:eastAsia="Times New Roman"/>
          <w:b/>
          <w:bCs/>
          <w:color w:val="000000"/>
          <w:sz w:val="24"/>
          <w:szCs w:val="24"/>
          <w:lang w:eastAsia="pt-BR" w:bidi="ar-SA"/>
        </w:rPr>
        <w:t xml:space="preserve">6.2.1.2.</w:t>
      </w:r>
      <w:r>
        <w:rPr>
          <w:rFonts w:ascii="Arial" w:hAnsi="Arial" w:eastAsia="Times New Roman"/>
          <w:color w:val="000000"/>
          <w:sz w:val="24"/>
          <w:szCs w:val="24"/>
          <w:lang w:eastAsia="pt-BR" w:bidi="ar-SA"/>
        </w:rPr>
        <w:t xml:space="preserve"> Informar a contratada sobre a nota de empenho;</w:t>
      </w:r>
      <w:r>
        <w:rPr>
          <w:sz w:val="24"/>
          <w:szCs w:val="24"/>
        </w:rPr>
      </w:r>
    </w:p>
    <w:p>
      <w:pPr>
        <w:pStyle w:val="1249"/>
        <w:widowControl w:val="false"/>
        <w:pBdr/>
        <w:tabs>
          <w:tab w:val="left" w:leader="none" w:pos="284"/>
          <w:tab w:val="clear" w:leader="none" w:pos="720"/>
          <w:tab w:val="left" w:leader="none" w:pos="1382"/>
        </w:tabs>
        <w:spacing w:after="0" w:before="0"/>
        <w:ind w:firstLine="397"/>
        <w:jc w:val="both"/>
        <w:rPr>
          <w:sz w:val="24"/>
          <w:szCs w:val="24"/>
        </w:rPr>
      </w:pPr>
      <w:r>
        <w:rPr>
          <w:rFonts w:ascii="Arial" w:hAnsi="Arial" w:eastAsia="Times New Roman"/>
          <w:b/>
          <w:bCs/>
          <w:color w:val="000000"/>
          <w:sz w:val="24"/>
          <w:szCs w:val="24"/>
          <w:lang w:eastAsia="pt-BR" w:bidi="ar-SA"/>
        </w:rPr>
        <w:t xml:space="preserve">6.2.1.3.</w:t>
      </w:r>
      <w:r>
        <w:rPr>
          <w:rFonts w:ascii="Arial" w:hAnsi="Arial" w:eastAsia="Times New Roman"/>
          <w:color w:val="000000"/>
          <w:sz w:val="24"/>
          <w:szCs w:val="24"/>
          <w:lang w:eastAsia="pt-BR" w:bidi="ar-SA"/>
        </w:rPr>
        <w:t xml:space="preserve"> Atestar nas Notas Fiscais ou Faturas e documentos de controle do Contratante a efetiva entrega do objeto desta licitação, dentro do prazo estabelecido no Edital.</w:t>
      </w:r>
      <w:r>
        <w:rPr>
          <w:sz w:val="24"/>
          <w:szCs w:val="24"/>
        </w:rPr>
      </w:r>
    </w:p>
    <w:p>
      <w:pPr>
        <w:pStyle w:val="1249"/>
        <w:widowControl w:val="false"/>
        <w:pBdr/>
        <w:tabs>
          <w:tab w:val="left" w:leader="none" w:pos="284"/>
          <w:tab w:val="clear" w:leader="none" w:pos="720"/>
          <w:tab w:val="left" w:leader="none" w:pos="1382"/>
        </w:tabs>
        <w:spacing w:after="0" w:before="0"/>
        <w:ind w:firstLine="397"/>
        <w:jc w:val="both"/>
        <w:rPr>
          <w:sz w:val="24"/>
          <w:szCs w:val="24"/>
        </w:rPr>
      </w:pPr>
      <w:r>
        <w:rPr>
          <w:rFonts w:ascii="Arial" w:hAnsi="Arial" w:eastAsia="Times New Roman"/>
          <w:b/>
          <w:bCs/>
          <w:color w:val="000000"/>
          <w:sz w:val="24"/>
          <w:szCs w:val="24"/>
          <w:lang w:eastAsia="pt-BR" w:bidi="ar-SA"/>
        </w:rPr>
        <w:t xml:space="preserve">6.2.1.4.</w:t>
      </w:r>
      <w:r>
        <w:rPr>
          <w:rFonts w:ascii="Arial" w:hAnsi="Arial" w:eastAsia="Times New Roman"/>
          <w:color w:val="000000"/>
          <w:sz w:val="24"/>
          <w:szCs w:val="24"/>
          <w:lang w:eastAsia="pt-BR" w:bidi="ar-SA"/>
        </w:rPr>
        <w:t xml:space="preserve"> Acompanhar e fiscalizar a execução do objeto d</w:t>
      </w:r>
      <w:r>
        <w:rPr>
          <w:rFonts w:ascii="Arial" w:hAnsi="Arial" w:eastAsia="Times New Roman"/>
          <w:color w:val="000000"/>
          <w:sz w:val="24"/>
          <w:szCs w:val="24"/>
          <w:lang w:eastAsia="pt-BR" w:bidi="ar-SA"/>
        </w:rPr>
        <w:t xml:space="preserve">o Contrato, sob os aspectos quantitativo e qualitativo, anotando em registro próprio as falhas detectadas e comunicando as ocorrências de quaisquer fatos que, a seu critério, exijam medidas corretivas por parte da Contratada, aplicando as sanções cabíveis;</w:t>
      </w:r>
      <w:r>
        <w:rPr>
          <w:sz w:val="24"/>
          <w:szCs w:val="24"/>
        </w:rPr>
      </w:r>
    </w:p>
    <w:p>
      <w:pPr>
        <w:pStyle w:val="1249"/>
        <w:widowControl w:val="false"/>
        <w:pBdr/>
        <w:tabs>
          <w:tab w:val="left" w:leader="none" w:pos="284"/>
          <w:tab w:val="clear" w:leader="none" w:pos="720"/>
          <w:tab w:val="left" w:leader="none" w:pos="1382"/>
        </w:tabs>
        <w:spacing w:after="0" w:before="0"/>
        <w:ind w:firstLine="397"/>
        <w:jc w:val="both"/>
        <w:rPr>
          <w:sz w:val="24"/>
          <w:szCs w:val="24"/>
        </w:rPr>
      </w:pPr>
      <w:r>
        <w:rPr>
          <w:rFonts w:ascii="Arial" w:hAnsi="Arial" w:eastAsia="Times New Roman"/>
          <w:b/>
          <w:bCs/>
          <w:color w:val="000000"/>
          <w:sz w:val="24"/>
          <w:szCs w:val="24"/>
          <w:lang w:eastAsia="pt-BR" w:bidi="ar-SA"/>
        </w:rPr>
        <w:t xml:space="preserve">6.2.1.5. </w:t>
      </w:r>
      <w:r>
        <w:rPr>
          <w:rFonts w:ascii="Arial" w:hAnsi="Arial" w:eastAsia="Times New Roman"/>
          <w:color w:val="000000"/>
          <w:sz w:val="24"/>
          <w:szCs w:val="24"/>
          <w:lang w:eastAsia="pt-BR" w:bidi="ar-SA"/>
        </w:rPr>
        <w:t xml:space="preserve">Notificar, por escrito, a Contratada da aplicação de qualquer sanção;</w:t>
      </w:r>
      <w:r>
        <w:rPr>
          <w:sz w:val="24"/>
          <w:szCs w:val="24"/>
        </w:rPr>
      </w:r>
    </w:p>
    <w:p>
      <w:pPr>
        <w:pStyle w:val="1249"/>
        <w:widowControl w:val="false"/>
        <w:pBdr/>
        <w:tabs>
          <w:tab w:val="left" w:leader="none" w:pos="284"/>
          <w:tab w:val="clear" w:leader="none" w:pos="720"/>
          <w:tab w:val="left" w:leader="none" w:pos="1382"/>
        </w:tabs>
        <w:spacing w:after="0" w:before="0"/>
        <w:ind w:firstLine="397"/>
        <w:jc w:val="both"/>
        <w:rPr>
          <w:sz w:val="24"/>
          <w:szCs w:val="24"/>
        </w:rPr>
      </w:pPr>
      <w:r>
        <w:rPr>
          <w:rFonts w:ascii="Arial" w:hAnsi="Arial" w:eastAsia="Times New Roman"/>
          <w:b/>
          <w:bCs/>
          <w:color w:val="000000"/>
          <w:sz w:val="24"/>
          <w:szCs w:val="24"/>
          <w:lang w:eastAsia="pt-BR" w:bidi="ar-SA"/>
        </w:rPr>
        <w:t xml:space="preserve">6.2.1.6.</w:t>
      </w:r>
      <w:r>
        <w:rPr>
          <w:rFonts w:ascii="Arial" w:hAnsi="Arial" w:eastAsia="Times New Roman"/>
          <w:color w:val="000000"/>
          <w:sz w:val="24"/>
          <w:szCs w:val="24"/>
          <w:lang w:eastAsia="pt-BR" w:bidi="ar-SA"/>
        </w:rPr>
        <w:t xml:space="preserve"> Efetuar o pagamento a contratada, de acordo com as condições de preço e prazo estabelecidas neste Edital;</w:t>
      </w:r>
      <w:r>
        <w:rPr>
          <w:sz w:val="24"/>
          <w:szCs w:val="24"/>
        </w:rPr>
      </w:r>
    </w:p>
    <w:p>
      <w:pPr>
        <w:pStyle w:val="1249"/>
        <w:widowControl w:val="false"/>
        <w:pBdr/>
        <w:tabs>
          <w:tab w:val="left" w:leader="none" w:pos="284"/>
          <w:tab w:val="clear" w:leader="none" w:pos="720"/>
          <w:tab w:val="left" w:leader="none" w:pos="1382"/>
        </w:tabs>
        <w:spacing w:after="0" w:before="0"/>
        <w:ind w:firstLine="397"/>
        <w:jc w:val="both"/>
        <w:rPr>
          <w:sz w:val="24"/>
          <w:szCs w:val="24"/>
        </w:rPr>
      </w:pPr>
      <w:r>
        <w:rPr>
          <w:rFonts w:ascii="Arial" w:hAnsi="Arial" w:eastAsia="Times New Roman"/>
          <w:b/>
          <w:bCs/>
          <w:color w:val="000000"/>
          <w:sz w:val="24"/>
          <w:szCs w:val="24"/>
          <w:lang w:eastAsia="pt-BR" w:bidi="ar-SA"/>
        </w:rPr>
        <w:t xml:space="preserve">6.2.1.7.</w:t>
      </w:r>
      <w:r>
        <w:rPr>
          <w:rFonts w:ascii="Arial" w:hAnsi="Arial" w:eastAsia="Times New Roman"/>
          <w:color w:val="000000"/>
          <w:sz w:val="24"/>
          <w:szCs w:val="24"/>
          <w:lang w:eastAsia="pt-BR" w:bidi="ar-SA"/>
        </w:rPr>
        <w:t xml:space="preserve"> Prestar à Contratada toda e qualquer informação, por esta solicitada, necessária à perfeita execução do Contrato.</w:t>
      </w:r>
      <w:r>
        <w:rPr>
          <w:sz w:val="24"/>
          <w:szCs w:val="24"/>
        </w:rPr>
      </w:r>
    </w:p>
    <w:p>
      <w:pPr>
        <w:pStyle w:val="1056"/>
        <w:pBdr/>
        <w:spacing/>
        <w:ind/>
        <w:rPr>
          <w:rFonts w:ascii="Arial" w:hAnsi="Arial" w:cs="Arial"/>
          <w:sz w:val="24"/>
          <w:szCs w:val="24"/>
        </w:rPr>
      </w:pPr>
      <w:r>
        <w:rPr>
          <w:rFonts w:cs="Arial"/>
          <w:sz w:val="24"/>
          <w:szCs w:val="24"/>
        </w:rPr>
      </w:r>
      <w:r>
        <w:rPr>
          <w:rFonts w:ascii="Arial" w:hAnsi="Arial" w:cs="Arial"/>
          <w:sz w:val="24"/>
          <w:szCs w:val="24"/>
        </w:rPr>
      </w:r>
    </w:p>
    <w:p>
      <w:pPr>
        <w:pStyle w:val="1210"/>
        <w:widowControl w:val="false"/>
        <w:numPr>
          <w:ilvl w:val="0"/>
          <w:numId w:val="20"/>
        </w:numPr>
        <w:pBdr/>
        <w:tabs>
          <w:tab w:val="clear" w:leader="none" w:pos="720"/>
          <w:tab w:val="left" w:leader="none" w:pos="1583"/>
        </w:tabs>
        <w:spacing w:line="360" w:lineRule="auto"/>
        <w:ind/>
        <w:jc w:val="both"/>
        <w:rPr>
          <w:rFonts w:ascii="Arial" w:hAnsi="Arial" w:cs="Arial"/>
          <w:sz w:val="24"/>
          <w:szCs w:val="24"/>
        </w:rPr>
      </w:pPr>
      <w:r>
        <w:rPr>
          <w:rFonts w:cs="Arial"/>
          <w:b/>
          <w:color w:val="000000"/>
          <w:sz w:val="24"/>
          <w:szCs w:val="24"/>
        </w:rPr>
        <w:t xml:space="preserve">EXECUÇÃO DO OBJETO</w:t>
      </w:r>
      <w:r>
        <w:rPr>
          <w:rFonts w:cs="Arial"/>
          <w:color w:val="ff0000"/>
          <w:sz w:val="24"/>
          <w:szCs w:val="24"/>
        </w:rPr>
        <w:t xml:space="preserve"> </w:t>
      </w:r>
      <w:r>
        <w:rPr>
          <w:rFonts w:cs="Arial"/>
          <w:sz w:val="24"/>
          <w:szCs w:val="24"/>
        </w:rPr>
        <w:t xml:space="preserve">(</w:t>
      </w:r>
      <w:r>
        <w:rPr>
          <w:rFonts w:cs="Arial"/>
          <w:color w:val="00b050"/>
          <w:sz w:val="24"/>
          <w:szCs w:val="24"/>
          <w:lang w:val="en-US"/>
        </w:rPr>
        <w:t xml:space="preserve">Art. 6º, XXIII, “e” da Lei 14.133/21)</w:t>
      </w:r>
      <w:r>
        <w:rPr>
          <w:rFonts w:ascii="Arial" w:hAnsi="Arial" w:cs="Arial"/>
          <w:sz w:val="24"/>
          <w:szCs w:val="24"/>
        </w:rPr>
      </w:r>
    </w:p>
    <w:p>
      <w:pPr>
        <w:pStyle w:val="1056"/>
        <w:pBdr/>
        <w:spacing w:line="276" w:lineRule="auto"/>
        <w:ind/>
        <w:rPr>
          <w:rFonts w:ascii="Arial" w:hAnsi="Arial" w:cs="Arial"/>
          <w:sz w:val="24"/>
          <w:szCs w:val="24"/>
        </w:rPr>
      </w:pPr>
      <w:r>
        <w:rPr>
          <w:rFonts w:eastAsia="Arial" w:cs="Arial"/>
          <w:b/>
          <w:bCs/>
          <w:color w:val="000000"/>
          <w:sz w:val="24"/>
          <w:szCs w:val="24"/>
        </w:rPr>
        <w:t xml:space="preserve">7.1.</w:t>
      </w:r>
      <w:r>
        <w:rPr>
          <w:rFonts w:eastAsia="Arial" w:cs="Arial"/>
          <w:color w:val="000000"/>
          <w:sz w:val="24"/>
          <w:szCs w:val="24"/>
        </w:rPr>
        <w:t xml:space="preserve"> Foi definido o escopo da contratação de empresa especializada na prest</w:t>
      </w:r>
      <w:r>
        <w:rPr>
          <w:rFonts w:eastAsia="Arial" w:cs="Arial"/>
          <w:color w:val="000000"/>
          <w:sz w:val="24"/>
          <w:szCs w:val="24"/>
        </w:rPr>
        <w:t xml:space="preserve">ação de serviços de dedetização, abrangendo desratização, descupinização, desinsetização, controle de escorpiões e expurgo, com foco na manutenção preventiva e corretiva dos prédios públicos municipais, atendendo às necessidades das Secretarias, Fundos e d</w:t>
      </w:r>
      <w:r>
        <w:rPr>
          <w:rFonts w:eastAsia="Arial" w:cs="Arial"/>
          <w:color w:val="000000"/>
          <w:sz w:val="24"/>
          <w:szCs w:val="24"/>
        </w:rPr>
        <w:t xml:space="preserve">emais setores da Prefeitura Municipal de Rio das Flores. A execução ocorrerá mediante autorização formal da Administração, após o recebimento da Nota de Empenho e da Autorização de Fornecimento, de acordo com o regime de contratação por registro de preços.</w:t>
      </w:r>
      <w:r>
        <w:rPr>
          <w:rFonts w:ascii="Arial" w:hAnsi="Arial" w:cs="Arial"/>
          <w:sz w:val="24"/>
          <w:szCs w:val="24"/>
        </w:rPr>
      </w:r>
    </w:p>
    <w:p>
      <w:pPr>
        <w:pStyle w:val="1056"/>
        <w:pBdr/>
        <w:spacing w:line="276" w:lineRule="auto"/>
        <w:ind/>
        <w:rPr>
          <w:rFonts w:ascii="Arial" w:hAnsi="Arial" w:cs="Arial"/>
          <w:sz w:val="24"/>
          <w:szCs w:val="24"/>
        </w:rPr>
      </w:pPr>
      <w:r>
        <w:rPr>
          <w:rFonts w:eastAsia="Arial" w:cs="Arial"/>
          <w:b/>
          <w:bCs/>
          <w:color w:val="000000"/>
          <w:sz w:val="24"/>
          <w:szCs w:val="24"/>
        </w:rPr>
        <w:t xml:space="preserve">7.2.</w:t>
      </w:r>
      <w:r>
        <w:rPr>
          <w:rFonts w:eastAsia="Arial" w:cs="Arial"/>
          <w:color w:val="000000"/>
          <w:sz w:val="24"/>
          <w:szCs w:val="24"/>
        </w:rPr>
        <w:t xml:space="preserve"> A presente contratação visa assegurar a eficiência e a regularidade na execução dos serviços de dedetização, essenciais para a manutenção sanitária e preventiva dos ambientes públicos, contribuindo diretamente para a proteção da sa</w:t>
      </w:r>
      <w:r>
        <w:rPr>
          <w:rFonts w:eastAsia="Arial" w:cs="Arial"/>
          <w:color w:val="000000"/>
          <w:sz w:val="24"/>
          <w:szCs w:val="24"/>
        </w:rPr>
        <w:t xml:space="preserve">úde de servidores e usuários e para o pleno funcionamento das atividades administrativas. Trata-se de medida fundamental para garantir a salubridade, segurança e bem-estar em escolas, unidades de saúde, prédios administrativos, almoxarifados, entre outros.</w:t>
      </w:r>
      <w:r>
        <w:rPr>
          <w:rFonts w:ascii="Arial" w:hAnsi="Arial" w:cs="Arial"/>
          <w:sz w:val="24"/>
          <w:szCs w:val="24"/>
        </w:rPr>
      </w:r>
    </w:p>
    <w:p>
      <w:pPr>
        <w:pStyle w:val="1056"/>
        <w:pBdr/>
        <w:spacing w:line="276" w:lineRule="auto"/>
        <w:ind/>
        <w:rPr>
          <w:rFonts w:ascii="Arial" w:hAnsi="Arial" w:cs="Arial"/>
          <w:sz w:val="24"/>
          <w:szCs w:val="24"/>
        </w:rPr>
      </w:pPr>
      <w:r>
        <w:rPr>
          <w:rFonts w:eastAsia="Arial" w:cs="Arial"/>
          <w:b/>
          <w:bCs/>
          <w:color w:val="000000"/>
          <w:sz w:val="24"/>
          <w:szCs w:val="24"/>
        </w:rPr>
        <w:t xml:space="preserve">7.3.</w:t>
      </w:r>
      <w:r>
        <w:rPr>
          <w:rFonts w:eastAsia="Arial" w:cs="Arial"/>
          <w:color w:val="000000"/>
          <w:sz w:val="24"/>
          <w:szCs w:val="24"/>
        </w:rPr>
        <w:t xml:space="preserve"> Os serviços serão executados conforme as condições contratuais, normas legais e especificações </w:t>
      </w:r>
      <w:r>
        <w:rPr>
          <w:rFonts w:eastAsia="Arial" w:cs="Arial"/>
          <w:color w:val="000000"/>
          <w:sz w:val="24"/>
          <w:szCs w:val="24"/>
        </w:rPr>
        <w:t xml:space="preserve">técnicas, de forma a garantir a efetividade no controle de vetores e pragas urbanas, mediante ações sistemáticas e planejadas, com atenção à pontualidade, qualidade, segurança operacional e à conformidade com os padrões da vigilância sanitária e ambiental.</w:t>
      </w:r>
      <w:r>
        <w:rPr>
          <w:rFonts w:ascii="Arial" w:hAnsi="Arial" w:cs="Arial"/>
          <w:sz w:val="24"/>
          <w:szCs w:val="24"/>
        </w:rPr>
      </w:r>
    </w:p>
    <w:p>
      <w:pPr>
        <w:pStyle w:val="1056"/>
        <w:pBdr/>
        <w:spacing w:line="276" w:lineRule="auto"/>
        <w:ind/>
        <w:rPr>
          <w:rFonts w:ascii="Arial" w:hAnsi="Arial" w:cs="Arial"/>
          <w:sz w:val="24"/>
          <w:szCs w:val="24"/>
        </w:rPr>
      </w:pPr>
      <w:r>
        <w:rPr>
          <w:rFonts w:eastAsia="Arial" w:cs="Arial"/>
          <w:b/>
          <w:bCs/>
          <w:color w:val="000000"/>
          <w:sz w:val="24"/>
          <w:szCs w:val="24"/>
        </w:rPr>
        <w:t xml:space="preserve">7.4.</w:t>
      </w:r>
      <w:r>
        <w:rPr>
          <w:rFonts w:eastAsia="Arial" w:cs="Arial"/>
          <w:color w:val="000000"/>
          <w:sz w:val="24"/>
          <w:szCs w:val="24"/>
        </w:rPr>
        <w:t xml:space="preserve"> A execução contratual deverá observar rigorosamente</w:t>
      </w:r>
      <w:r>
        <w:rPr>
          <w:rFonts w:eastAsia="Arial" w:cs="Arial"/>
          <w:color w:val="000000"/>
          <w:sz w:val="24"/>
          <w:szCs w:val="24"/>
        </w:rPr>
        <w:t xml:space="preserve"> os requisitos de segurança, eficácia, legalidade e qualidade técnica, assegurando o uso de metodologias e produtos devidamente registrados nos órgãos competentes, como ANVISA, IBAMA e INEA, e em conformidade com a legislação ambiental e sanitária vigente.</w:t>
      </w:r>
      <w:r>
        <w:rPr>
          <w:rFonts w:ascii="Arial" w:hAnsi="Arial" w:cs="Arial"/>
          <w:sz w:val="24"/>
          <w:szCs w:val="24"/>
        </w:rPr>
      </w:r>
    </w:p>
    <w:p>
      <w:pPr>
        <w:pStyle w:val="1059"/>
        <w:pBdr/>
        <w:spacing w:line="276" w:lineRule="auto"/>
        <w:ind/>
        <w:rPr>
          <w:rFonts w:ascii="Arial" w:hAnsi="Arial" w:cs="Arial"/>
          <w:bCs/>
          <w:sz w:val="24"/>
          <w:szCs w:val="24"/>
        </w:rPr>
      </w:pPr>
      <w:r>
        <w:rPr>
          <w:rFonts w:eastAsia="Arial" w:cs="Arial"/>
          <w:bCs/>
          <w:color w:val="000000"/>
          <w:sz w:val="24"/>
          <w:szCs w:val="24"/>
        </w:rPr>
        <w:t xml:space="preserve">8. DO PROGRAMA TÉCNICO E DOS PROCEDIMENTOS OPERACIONAIS</w:t>
      </w:r>
      <w:r>
        <w:rPr>
          <w:rFonts w:ascii="Arial" w:hAnsi="Arial" w:cs="Arial"/>
          <w:bCs/>
          <w:sz w:val="24"/>
          <w:szCs w:val="24"/>
        </w:rPr>
      </w:r>
    </w:p>
    <w:p>
      <w:pPr>
        <w:pStyle w:val="1056"/>
        <w:pBdr/>
        <w:spacing w:line="276" w:lineRule="auto"/>
        <w:ind/>
        <w:rPr>
          <w:rFonts w:ascii="Arial" w:hAnsi="Arial" w:eastAsia="Arial" w:cs="Arial"/>
          <w:color w:val="000000"/>
          <w:sz w:val="24"/>
          <w:szCs w:val="24"/>
        </w:rPr>
      </w:pPr>
      <w:r>
        <w:rPr>
          <w:rFonts w:eastAsia="Arial" w:cs="Arial"/>
          <w:b/>
          <w:bCs/>
          <w:color w:val="000000"/>
          <w:sz w:val="24"/>
          <w:szCs w:val="24"/>
        </w:rPr>
        <w:t xml:space="preserve">8.1.</w:t>
      </w:r>
      <w:r>
        <w:rPr>
          <w:rFonts w:eastAsia="Arial" w:cs="Arial"/>
          <w:color w:val="000000"/>
          <w:sz w:val="24"/>
          <w:szCs w:val="24"/>
        </w:rPr>
        <w:t xml:space="preserve"> As atividades de controle de pragas deverão, obrigatoriamente, ser desenvolvidas com base em um</w:t>
      </w:r>
      <w:r>
        <w:rPr>
          <w:rFonts w:eastAsia="Arial" w:cs="Arial"/>
          <w:color w:val="000000"/>
          <w:sz w:val="24"/>
          <w:szCs w:val="24"/>
        </w:rPr>
        <w:t xml:space="preserve"> programa técnico especializado, voltado para a obtenção de índices próximos de zero de infestação por vetores e pragas urbanas. Para tanto, exige-se o intenso controle documental das atividades operacionais, que deverá contemplar, entre outros documentos:</w:t>
      </w:r>
      <w:r>
        <w:rPr>
          <w:rFonts w:ascii="Arial" w:hAnsi="Arial" w:eastAsia="Arial" w:cs="Arial"/>
          <w:color w:val="000000"/>
          <w:sz w:val="24"/>
          <w:szCs w:val="24"/>
        </w:rPr>
      </w:r>
    </w:p>
    <w:p>
      <w:pPr>
        <w:pStyle w:val="1056"/>
        <w:pBdr/>
        <w:spacing w:line="276" w:lineRule="auto"/>
        <w:ind/>
        <w:rPr>
          <w:rFonts w:ascii="Arial" w:hAnsi="Arial" w:cs="Arial"/>
          <w:sz w:val="24"/>
          <w:szCs w:val="24"/>
        </w:rPr>
      </w:pPr>
      <w:r>
        <w:rPr>
          <w:rFonts w:cs="Arial"/>
          <w:sz w:val="24"/>
          <w:szCs w:val="24"/>
        </w:rPr>
      </w:r>
      <w:r>
        <w:rPr>
          <w:rFonts w:ascii="Arial" w:hAnsi="Arial" w:cs="Arial"/>
          <w:sz w:val="24"/>
          <w:szCs w:val="24"/>
        </w:rPr>
      </w:r>
    </w:p>
    <w:p>
      <w:pPr>
        <w:pStyle w:val="1210"/>
        <w:numPr>
          <w:ilvl w:val="0"/>
          <w:numId w:val="33"/>
        </w:numPr>
        <w:pBdr/>
        <w:spacing w:line="276" w:lineRule="auto"/>
        <w:ind/>
        <w:rPr>
          <w:rFonts w:ascii="Arial" w:hAnsi="Arial" w:cs="Arial"/>
          <w:sz w:val="24"/>
          <w:szCs w:val="24"/>
        </w:rPr>
      </w:pPr>
      <w:r>
        <w:rPr>
          <w:rFonts w:eastAsia="Arial" w:cs="Arial"/>
          <w:color w:val="000000"/>
          <w:sz w:val="24"/>
          <w:szCs w:val="24"/>
        </w:rPr>
        <w:t xml:space="preserve">Cronograma de execução por unidade/setor;</w:t>
      </w:r>
      <w:r>
        <w:rPr>
          <w:rFonts w:ascii="Arial" w:hAnsi="Arial" w:cs="Arial"/>
          <w:sz w:val="24"/>
          <w:szCs w:val="24"/>
        </w:rPr>
      </w:r>
    </w:p>
    <w:p>
      <w:pPr>
        <w:pStyle w:val="1210"/>
        <w:numPr>
          <w:ilvl w:val="0"/>
          <w:numId w:val="33"/>
        </w:numPr>
        <w:pBdr/>
        <w:spacing w:line="276" w:lineRule="auto"/>
        <w:ind/>
        <w:rPr>
          <w:rFonts w:ascii="Arial" w:hAnsi="Arial" w:cs="Arial"/>
          <w:sz w:val="24"/>
          <w:szCs w:val="24"/>
        </w:rPr>
      </w:pPr>
      <w:r>
        <w:rPr>
          <w:rFonts w:eastAsia="Arial" w:cs="Arial"/>
          <w:color w:val="000000"/>
          <w:sz w:val="24"/>
          <w:szCs w:val="24"/>
        </w:rPr>
        <w:t xml:space="preserve">Relatórios estatísticos de aplicação e ocorrências;</w:t>
      </w:r>
      <w:r>
        <w:rPr>
          <w:rFonts w:ascii="Arial" w:hAnsi="Arial" w:cs="Arial"/>
          <w:sz w:val="24"/>
          <w:szCs w:val="24"/>
        </w:rPr>
      </w:r>
    </w:p>
    <w:p>
      <w:pPr>
        <w:pStyle w:val="1210"/>
        <w:numPr>
          <w:ilvl w:val="0"/>
          <w:numId w:val="33"/>
        </w:numPr>
        <w:pBdr/>
        <w:spacing w:line="276" w:lineRule="auto"/>
        <w:ind/>
        <w:rPr>
          <w:rFonts w:ascii="Arial" w:hAnsi="Arial" w:cs="Arial"/>
          <w:sz w:val="24"/>
          <w:szCs w:val="24"/>
        </w:rPr>
      </w:pPr>
      <w:r>
        <w:rPr>
          <w:rFonts w:eastAsia="Arial" w:cs="Arial"/>
          <w:color w:val="000000"/>
          <w:sz w:val="24"/>
          <w:szCs w:val="24"/>
        </w:rPr>
        <w:t xml:space="preserve">Fichas técnicas dos produtos utilizados;</w:t>
      </w:r>
      <w:r>
        <w:rPr>
          <w:rFonts w:ascii="Arial" w:hAnsi="Arial" w:cs="Arial"/>
          <w:sz w:val="24"/>
          <w:szCs w:val="24"/>
        </w:rPr>
      </w:r>
    </w:p>
    <w:p>
      <w:pPr>
        <w:pStyle w:val="1210"/>
        <w:numPr>
          <w:ilvl w:val="0"/>
          <w:numId w:val="33"/>
        </w:numPr>
        <w:pBdr/>
        <w:spacing w:line="276" w:lineRule="auto"/>
        <w:ind/>
        <w:rPr>
          <w:rFonts w:ascii="Arial" w:hAnsi="Arial" w:cs="Arial"/>
          <w:sz w:val="24"/>
          <w:szCs w:val="24"/>
        </w:rPr>
      </w:pPr>
      <w:r>
        <w:rPr>
          <w:rFonts w:eastAsia="Arial" w:cs="Arial"/>
          <w:color w:val="000000"/>
          <w:sz w:val="24"/>
          <w:szCs w:val="24"/>
        </w:rPr>
        <w:t xml:space="preserve">Mapeamento prévio das áreas atendidas;</w:t>
      </w:r>
      <w:r>
        <w:rPr>
          <w:rFonts w:ascii="Arial" w:hAnsi="Arial" w:cs="Arial"/>
          <w:sz w:val="24"/>
          <w:szCs w:val="24"/>
        </w:rPr>
      </w:r>
    </w:p>
    <w:p>
      <w:pPr>
        <w:pStyle w:val="1210"/>
        <w:numPr>
          <w:ilvl w:val="0"/>
          <w:numId w:val="33"/>
        </w:numPr>
        <w:pBdr/>
        <w:spacing w:line="276" w:lineRule="auto"/>
        <w:ind/>
        <w:rPr>
          <w:rFonts w:ascii="Arial" w:hAnsi="Arial" w:cs="Arial"/>
          <w:sz w:val="24"/>
          <w:szCs w:val="24"/>
        </w:rPr>
      </w:pPr>
      <w:r>
        <w:rPr>
          <w:rFonts w:eastAsia="Arial" w:cs="Arial"/>
          <w:color w:val="000000"/>
          <w:sz w:val="24"/>
          <w:szCs w:val="24"/>
        </w:rPr>
        <w:t xml:space="preserve">Documentação legal da empresa prestadora de serviços, inclusive licenças e registros;</w:t>
      </w:r>
      <w:r>
        <w:rPr>
          <w:rFonts w:ascii="Arial" w:hAnsi="Arial" w:cs="Arial"/>
          <w:sz w:val="24"/>
          <w:szCs w:val="24"/>
        </w:rPr>
      </w:r>
    </w:p>
    <w:p>
      <w:pPr>
        <w:pStyle w:val="1210"/>
        <w:numPr>
          <w:ilvl w:val="0"/>
          <w:numId w:val="33"/>
        </w:numPr>
        <w:pBdr/>
        <w:spacing w:line="276" w:lineRule="auto"/>
        <w:ind/>
        <w:rPr>
          <w:rFonts w:ascii="Arial" w:hAnsi="Arial" w:cs="Arial"/>
          <w:sz w:val="24"/>
          <w:szCs w:val="24"/>
        </w:rPr>
      </w:pPr>
      <w:r>
        <w:rPr>
          <w:rFonts w:eastAsia="Arial" w:cs="Arial"/>
          <w:color w:val="000000"/>
          <w:sz w:val="24"/>
          <w:szCs w:val="24"/>
        </w:rPr>
        <w:t xml:space="preserve">Registro fotográfico, se solicitado;</w:t>
      </w:r>
      <w:r>
        <w:rPr>
          <w:rFonts w:ascii="Arial" w:hAnsi="Arial" w:cs="Arial"/>
          <w:sz w:val="24"/>
          <w:szCs w:val="24"/>
        </w:rPr>
      </w:r>
    </w:p>
    <w:p>
      <w:pPr>
        <w:pStyle w:val="1210"/>
        <w:numPr>
          <w:ilvl w:val="0"/>
          <w:numId w:val="33"/>
        </w:numPr>
        <w:pBdr/>
        <w:spacing w:line="276" w:lineRule="auto"/>
        <w:ind/>
        <w:rPr>
          <w:rFonts w:ascii="Arial" w:hAnsi="Arial" w:cs="Arial"/>
          <w:sz w:val="24"/>
          <w:szCs w:val="24"/>
        </w:rPr>
      </w:pPr>
      <w:r>
        <w:rPr>
          <w:rFonts w:eastAsia="Arial" w:cs="Arial"/>
          <w:color w:val="000000"/>
          <w:sz w:val="24"/>
          <w:szCs w:val="24"/>
        </w:rPr>
        <w:t xml:space="preserve">Relatório técnico com medidas corretivas e preventivas implementadas.</w:t>
      </w:r>
      <w:r>
        <w:rPr>
          <w:rFonts w:ascii="Arial" w:hAnsi="Arial" w:cs="Arial"/>
          <w:sz w:val="24"/>
          <w:szCs w:val="24"/>
        </w:rPr>
      </w:r>
    </w:p>
    <w:p>
      <w:pPr>
        <w:pStyle w:val="1210"/>
        <w:pBdr/>
        <w:spacing w:line="276" w:lineRule="auto"/>
        <w:ind w:left="709"/>
        <w:rPr>
          <w:rFonts w:ascii="Arial" w:hAnsi="Arial" w:cs="Arial"/>
          <w:sz w:val="24"/>
          <w:szCs w:val="24"/>
        </w:rPr>
      </w:pPr>
      <w:r>
        <w:rPr>
          <w:rFonts w:cs="Arial"/>
          <w:sz w:val="24"/>
          <w:szCs w:val="24"/>
        </w:rPr>
      </w:r>
      <w:r>
        <w:rPr>
          <w:rFonts w:ascii="Arial" w:hAnsi="Arial" w:cs="Arial"/>
          <w:sz w:val="24"/>
          <w:szCs w:val="24"/>
        </w:rPr>
      </w:r>
    </w:p>
    <w:p>
      <w:pPr>
        <w:pStyle w:val="1056"/>
        <w:pBdr/>
        <w:spacing w:line="276" w:lineRule="auto"/>
        <w:ind/>
        <w:rPr>
          <w:rFonts w:ascii="Arial" w:hAnsi="Arial" w:eastAsia="Arial" w:cs="Arial"/>
          <w:color w:val="000000"/>
          <w:sz w:val="24"/>
          <w:szCs w:val="24"/>
        </w:rPr>
      </w:pPr>
      <w:r>
        <w:rPr>
          <w:rFonts w:eastAsia="Arial" w:cs="Arial"/>
          <w:b/>
          <w:bCs/>
          <w:color w:val="000000"/>
          <w:sz w:val="24"/>
          <w:szCs w:val="24"/>
        </w:rPr>
        <w:t xml:space="preserve">8.2.</w:t>
      </w:r>
      <w:r>
        <w:rPr>
          <w:rFonts w:eastAsia="Arial" w:cs="Arial"/>
          <w:color w:val="000000"/>
          <w:sz w:val="24"/>
          <w:szCs w:val="24"/>
        </w:rPr>
        <w:t xml:space="preserve"> Para a elaboração e execução de um programa de controle eficaz, é imprescindível a realização de avaliações técnicas prévias, com os seguintes fundamentos:</w:t>
      </w:r>
      <w:r>
        <w:rPr>
          <w:rFonts w:ascii="Arial" w:hAnsi="Arial" w:eastAsia="Arial" w:cs="Arial"/>
          <w:color w:val="000000"/>
          <w:sz w:val="24"/>
          <w:szCs w:val="24"/>
        </w:rPr>
      </w:r>
    </w:p>
    <w:p>
      <w:pPr>
        <w:pStyle w:val="1056"/>
        <w:pBdr/>
        <w:spacing w:line="276" w:lineRule="auto"/>
        <w:ind/>
        <w:rPr>
          <w:rFonts w:ascii="Arial" w:hAnsi="Arial" w:cs="Arial"/>
          <w:sz w:val="24"/>
          <w:szCs w:val="24"/>
        </w:rPr>
      </w:pPr>
      <w:r>
        <w:rPr>
          <w:rFonts w:cs="Arial"/>
          <w:sz w:val="24"/>
          <w:szCs w:val="24"/>
        </w:rPr>
      </w:r>
      <w:r>
        <w:rPr>
          <w:rFonts w:ascii="Arial" w:hAnsi="Arial" w:cs="Arial"/>
          <w:sz w:val="24"/>
          <w:szCs w:val="24"/>
        </w:rPr>
      </w:r>
    </w:p>
    <w:p>
      <w:pPr>
        <w:pStyle w:val="1210"/>
        <w:numPr>
          <w:ilvl w:val="0"/>
          <w:numId w:val="34"/>
        </w:numPr>
        <w:pBdr/>
        <w:spacing w:line="276" w:lineRule="auto"/>
        <w:ind/>
        <w:rPr>
          <w:rFonts w:ascii="Arial" w:hAnsi="Arial" w:cs="Arial"/>
          <w:sz w:val="24"/>
          <w:szCs w:val="24"/>
        </w:rPr>
      </w:pPr>
      <w:r>
        <w:rPr>
          <w:rFonts w:eastAsia="Arial" w:cs="Arial"/>
          <w:color w:val="000000"/>
          <w:sz w:val="24"/>
          <w:szCs w:val="24"/>
        </w:rPr>
        <w:t xml:space="preserve">Definição de áreas críticas e zonas de risco;</w:t>
      </w:r>
      <w:r>
        <w:rPr>
          <w:rFonts w:ascii="Arial" w:hAnsi="Arial" w:cs="Arial"/>
          <w:sz w:val="24"/>
          <w:szCs w:val="24"/>
        </w:rPr>
      </w:r>
    </w:p>
    <w:p>
      <w:pPr>
        <w:pStyle w:val="1210"/>
        <w:numPr>
          <w:ilvl w:val="0"/>
          <w:numId w:val="34"/>
        </w:numPr>
        <w:pBdr/>
        <w:spacing w:line="276" w:lineRule="auto"/>
        <w:ind/>
        <w:rPr>
          <w:rFonts w:ascii="Arial" w:hAnsi="Arial" w:cs="Arial"/>
          <w:sz w:val="24"/>
          <w:szCs w:val="24"/>
        </w:rPr>
      </w:pPr>
      <w:r>
        <w:rPr>
          <w:rFonts w:eastAsia="Arial" w:cs="Arial"/>
          <w:color w:val="000000"/>
          <w:sz w:val="24"/>
          <w:szCs w:val="24"/>
        </w:rPr>
        <w:t xml:space="preserve">Levantamento das rotinas e dinâmicas operacionais dos diversos setores;</w:t>
      </w:r>
      <w:r>
        <w:rPr>
          <w:rFonts w:ascii="Arial" w:hAnsi="Arial" w:cs="Arial"/>
          <w:sz w:val="24"/>
          <w:szCs w:val="24"/>
        </w:rPr>
      </w:r>
    </w:p>
    <w:p>
      <w:pPr>
        <w:pStyle w:val="1210"/>
        <w:numPr>
          <w:ilvl w:val="0"/>
          <w:numId w:val="34"/>
        </w:numPr>
        <w:pBdr/>
        <w:spacing w:line="276" w:lineRule="auto"/>
        <w:ind/>
        <w:rPr>
          <w:rFonts w:ascii="Arial" w:hAnsi="Arial" w:cs="Arial"/>
          <w:sz w:val="24"/>
          <w:szCs w:val="24"/>
        </w:rPr>
      </w:pPr>
      <w:r>
        <w:rPr>
          <w:rFonts w:eastAsia="Arial" w:cs="Arial"/>
          <w:color w:val="000000"/>
          <w:sz w:val="24"/>
          <w:szCs w:val="24"/>
        </w:rPr>
        <w:t xml:space="preserve">Análise do sistema de esgotamento sanitário, drenagem e ventilação;</w:t>
      </w:r>
      <w:r>
        <w:rPr>
          <w:rFonts w:ascii="Arial" w:hAnsi="Arial" w:cs="Arial"/>
          <w:sz w:val="24"/>
          <w:szCs w:val="24"/>
        </w:rPr>
      </w:r>
    </w:p>
    <w:p>
      <w:pPr>
        <w:pStyle w:val="1210"/>
        <w:numPr>
          <w:ilvl w:val="0"/>
          <w:numId w:val="34"/>
        </w:numPr>
        <w:pBdr/>
        <w:spacing w:line="276" w:lineRule="auto"/>
        <w:ind/>
        <w:rPr>
          <w:rFonts w:ascii="Arial" w:hAnsi="Arial" w:cs="Arial"/>
          <w:sz w:val="24"/>
          <w:szCs w:val="24"/>
        </w:rPr>
      </w:pPr>
      <w:r>
        <w:rPr>
          <w:rFonts w:eastAsia="Arial" w:cs="Arial"/>
          <w:color w:val="000000"/>
          <w:sz w:val="24"/>
          <w:szCs w:val="24"/>
        </w:rPr>
        <w:t xml:space="preserve">Mapeamento das áreas de foco, como locais de preparo de alimentos, armazenamento de resíduos, depósitos, estoques, refeitórios e banheiros.</w:t>
      </w:r>
      <w:r>
        <w:rPr>
          <w:rFonts w:ascii="Arial" w:hAnsi="Arial" w:cs="Arial"/>
          <w:sz w:val="24"/>
          <w:szCs w:val="24"/>
        </w:rPr>
      </w:r>
    </w:p>
    <w:p>
      <w:pPr>
        <w:pStyle w:val="1210"/>
        <w:pBdr/>
        <w:spacing w:line="276" w:lineRule="auto"/>
        <w:ind w:left="709"/>
        <w:rPr>
          <w:rFonts w:ascii="Arial" w:hAnsi="Arial" w:cs="Arial"/>
          <w:sz w:val="24"/>
          <w:szCs w:val="24"/>
        </w:rPr>
      </w:pPr>
      <w:r>
        <w:rPr>
          <w:rFonts w:cs="Arial"/>
          <w:sz w:val="24"/>
          <w:szCs w:val="24"/>
        </w:rPr>
      </w:r>
      <w:r>
        <w:rPr>
          <w:rFonts w:ascii="Arial" w:hAnsi="Arial" w:cs="Arial"/>
          <w:sz w:val="24"/>
          <w:szCs w:val="24"/>
        </w:rPr>
      </w:r>
    </w:p>
    <w:p>
      <w:pPr>
        <w:pStyle w:val="1056"/>
        <w:pBdr/>
        <w:spacing w:line="276" w:lineRule="auto"/>
        <w:ind/>
        <w:rPr>
          <w:rFonts w:ascii="Arial" w:hAnsi="Arial" w:eastAsia="Arial" w:cs="Arial"/>
          <w:color w:val="000000"/>
          <w:sz w:val="24"/>
          <w:szCs w:val="24"/>
        </w:rPr>
      </w:pPr>
      <w:r>
        <w:rPr>
          <w:rFonts w:eastAsia="Arial" w:cs="Arial"/>
          <w:color w:val="000000"/>
          <w:sz w:val="24"/>
          <w:szCs w:val="24"/>
        </w:rPr>
        <w:t xml:space="preserve">Essas informações serão essenciais para a customização das ações de controle, otimizando os recursos aplicados e reduzindo os impactos ao ambiente e aos usuários dos espaços públicos.</w:t>
      </w:r>
      <w:r>
        <w:rPr>
          <w:rFonts w:ascii="Arial" w:hAnsi="Arial" w:eastAsia="Arial" w:cs="Arial"/>
          <w:color w:val="000000"/>
          <w:sz w:val="24"/>
          <w:szCs w:val="24"/>
        </w:rPr>
      </w:r>
    </w:p>
    <w:p>
      <w:pPr>
        <w:pStyle w:val="1056"/>
        <w:pBdr/>
        <w:spacing w:line="276" w:lineRule="auto"/>
        <w:ind/>
        <w:rPr>
          <w:rFonts w:ascii="Arial" w:hAnsi="Arial" w:eastAsia="Arial" w:cs="Arial"/>
          <w:color w:val="000000"/>
          <w:sz w:val="24"/>
          <w:szCs w:val="24"/>
        </w:rPr>
      </w:pPr>
      <w:r>
        <w:rPr>
          <w:rFonts w:eastAsia="Arial" w:cs="Arial"/>
          <w:b/>
          <w:bCs/>
          <w:color w:val="000000"/>
          <w:sz w:val="24"/>
          <w:szCs w:val="24"/>
        </w:rPr>
        <w:t xml:space="preserve">8.3. </w:t>
      </w:r>
      <w:r>
        <w:rPr>
          <w:rFonts w:eastAsia="Arial" w:cs="Arial"/>
          <w:color w:val="000000"/>
          <w:sz w:val="24"/>
          <w:szCs w:val="24"/>
        </w:rPr>
        <w:t xml:space="preserve">Pod</w:t>
      </w:r>
      <w:r>
        <w:rPr>
          <w:rFonts w:eastAsia="Arial" w:cs="Arial"/>
          <w:color w:val="000000"/>
          <w:sz w:val="24"/>
          <w:szCs w:val="24"/>
        </w:rPr>
        <w:t xml:space="preserve">erá ser facultada, aos licitantes, a realização de visita técnica prévia aos locais de execução dos serviços, conforme previsto em edital. Caso o licitante opte por não realizar a visita técnica, deverá apresentar uma declaração formal, na qual conste que:</w:t>
      </w:r>
      <w:r>
        <w:rPr>
          <w:rFonts w:ascii="Arial" w:hAnsi="Arial" w:eastAsia="Arial" w:cs="Arial"/>
          <w:color w:val="000000"/>
          <w:sz w:val="24"/>
          <w:szCs w:val="24"/>
        </w:rPr>
      </w:r>
    </w:p>
    <w:p>
      <w:pPr>
        <w:pStyle w:val="1056"/>
        <w:pBdr/>
        <w:spacing w:line="276" w:lineRule="auto"/>
        <w:ind/>
        <w:rPr>
          <w:rFonts w:ascii="Arial" w:hAnsi="Arial" w:cs="Arial"/>
          <w:sz w:val="24"/>
          <w:szCs w:val="24"/>
        </w:rPr>
      </w:pPr>
      <w:r>
        <w:rPr>
          <w:rFonts w:cs="Arial"/>
          <w:sz w:val="24"/>
          <w:szCs w:val="24"/>
        </w:rPr>
      </w:r>
      <w:r>
        <w:rPr>
          <w:rFonts w:ascii="Arial" w:hAnsi="Arial" w:cs="Arial"/>
          <w:sz w:val="24"/>
          <w:szCs w:val="24"/>
        </w:rPr>
      </w:r>
    </w:p>
    <w:p>
      <w:pPr>
        <w:pStyle w:val="1210"/>
        <w:numPr>
          <w:ilvl w:val="0"/>
          <w:numId w:val="35"/>
        </w:numPr>
        <w:pBdr/>
        <w:spacing w:line="276" w:lineRule="auto"/>
        <w:ind/>
        <w:rPr>
          <w:rFonts w:ascii="Arial" w:hAnsi="Arial" w:cs="Arial"/>
          <w:sz w:val="24"/>
          <w:szCs w:val="24"/>
        </w:rPr>
      </w:pPr>
      <w:r>
        <w:rPr>
          <w:rFonts w:eastAsia="Arial" w:cs="Arial"/>
          <w:color w:val="000000"/>
          <w:sz w:val="24"/>
          <w:szCs w:val="24"/>
        </w:rPr>
        <w:t xml:space="preserve">Está ciente das condições, especificidades e peculiaridades do objeto;</w:t>
      </w:r>
      <w:r>
        <w:rPr>
          <w:rFonts w:ascii="Arial" w:hAnsi="Arial" w:cs="Arial"/>
          <w:sz w:val="24"/>
          <w:szCs w:val="24"/>
        </w:rPr>
      </w:r>
    </w:p>
    <w:p>
      <w:pPr>
        <w:pStyle w:val="1210"/>
        <w:numPr>
          <w:ilvl w:val="0"/>
          <w:numId w:val="35"/>
        </w:numPr>
        <w:pBdr/>
        <w:spacing w:line="276" w:lineRule="auto"/>
        <w:ind/>
        <w:rPr>
          <w:rFonts w:ascii="Arial" w:hAnsi="Arial" w:cs="Arial"/>
          <w:sz w:val="24"/>
          <w:szCs w:val="24"/>
        </w:rPr>
      </w:pPr>
      <w:r>
        <w:rPr>
          <w:rFonts w:eastAsia="Arial" w:cs="Arial"/>
          <w:color w:val="000000"/>
          <w:sz w:val="24"/>
          <w:szCs w:val="24"/>
        </w:rPr>
        <w:t xml:space="preserve">Assume total responsabilidade técnica e financeira pelo conhecimento das áreas e demandas contratuais;</w:t>
      </w:r>
      <w:r>
        <w:rPr>
          <w:rFonts w:ascii="Arial" w:hAnsi="Arial" w:cs="Arial"/>
          <w:sz w:val="24"/>
          <w:szCs w:val="24"/>
        </w:rPr>
      </w:r>
    </w:p>
    <w:p>
      <w:pPr>
        <w:pStyle w:val="1210"/>
        <w:numPr>
          <w:ilvl w:val="0"/>
          <w:numId w:val="35"/>
        </w:numPr>
        <w:pBdr/>
        <w:spacing w:line="276" w:lineRule="auto"/>
        <w:ind/>
        <w:rPr>
          <w:rFonts w:ascii="Arial" w:hAnsi="Arial" w:cs="Arial"/>
          <w:sz w:val="24"/>
          <w:szCs w:val="24"/>
        </w:rPr>
      </w:pPr>
      <w:r>
        <w:rPr>
          <w:rFonts w:eastAsia="Arial" w:cs="Arial"/>
          <w:color w:val="000000"/>
          <w:sz w:val="24"/>
          <w:szCs w:val="24"/>
        </w:rPr>
        <w:t xml:space="preserve">Não fará uso da ausência de visita como fundamento para eventuais questionamentos futuros;</w:t>
      </w:r>
      <w:r>
        <w:rPr>
          <w:rFonts w:ascii="Arial" w:hAnsi="Arial" w:cs="Arial"/>
          <w:sz w:val="24"/>
          <w:szCs w:val="24"/>
        </w:rPr>
      </w:r>
    </w:p>
    <w:p>
      <w:pPr>
        <w:pStyle w:val="1210"/>
        <w:numPr>
          <w:ilvl w:val="0"/>
          <w:numId w:val="35"/>
        </w:numPr>
        <w:pBdr/>
        <w:spacing w:line="276" w:lineRule="auto"/>
        <w:ind/>
        <w:rPr>
          <w:rFonts w:ascii="Arial" w:hAnsi="Arial" w:cs="Arial"/>
          <w:sz w:val="24"/>
          <w:szCs w:val="24"/>
        </w:rPr>
      </w:pPr>
      <w:r>
        <w:rPr>
          <w:rFonts w:eastAsia="Arial" w:cs="Arial"/>
          <w:color w:val="000000"/>
          <w:sz w:val="24"/>
          <w:szCs w:val="24"/>
        </w:rPr>
        <w:t xml:space="preserve">A declaração deverá ter ciência da Secretaria requisitante dos serviços, assegurando a formalidade e a verificação do conteúdo informado.</w:t>
      </w:r>
      <w:r>
        <w:rPr>
          <w:rFonts w:ascii="Arial" w:hAnsi="Arial" w:cs="Arial"/>
          <w:sz w:val="24"/>
          <w:szCs w:val="24"/>
        </w:rPr>
      </w:r>
    </w:p>
    <w:p>
      <w:pPr>
        <w:pStyle w:val="1165"/>
        <w:pBdr/>
        <w:spacing w:after="283" w:before="120" w:line="276" w:lineRule="auto"/>
        <w:ind/>
        <w:rPr>
          <w:sz w:val="24"/>
          <w:szCs w:val="24"/>
        </w:rPr>
      </w:pPr>
      <w:r>
        <w:rPr>
          <w:sz w:val="24"/>
          <w:szCs w:val="24"/>
        </w:rPr>
      </w:r>
      <w:r>
        <w:rPr>
          <w:sz w:val="24"/>
          <w:szCs w:val="24"/>
        </w:rPr>
      </w:r>
    </w:p>
    <w:p>
      <w:pPr>
        <w:pStyle w:val="1165"/>
        <w:pBdr/>
        <w:tabs>
          <w:tab w:val="left" w:leader="none" w:pos="705"/>
          <w:tab w:val="clear" w:leader="none" w:pos="720"/>
          <w:tab w:val="left" w:leader="none" w:pos="2265"/>
        </w:tabs>
        <w:spacing w:after="283" w:before="120" w:line="276" w:lineRule="auto"/>
        <w:ind/>
        <w:jc w:val="both"/>
        <w:rPr>
          <w:rFonts w:ascii="Arial" w:hAnsi="Arial" w:cs="Arial"/>
          <w:sz w:val="24"/>
          <w:szCs w:val="24"/>
        </w:rPr>
      </w:pPr>
      <w:r>
        <w:rPr>
          <w:rStyle w:val="1117"/>
          <w:rFonts w:cs="Arial"/>
          <w:sz w:val="24"/>
          <w:szCs w:val="24"/>
        </w:rPr>
        <w:t xml:space="preserve">9. </w:t>
      </w:r>
      <w:r>
        <w:rPr>
          <w:rFonts w:cs="Arial"/>
          <w:b/>
          <w:sz w:val="24"/>
          <w:szCs w:val="24"/>
        </w:rPr>
        <w:t xml:space="preserve">ACOMPANHAMENTO E FISCALIZAÇÃO DA ENTREGA </w:t>
      </w:r>
      <w:r>
        <w:rPr>
          <w:rFonts w:cs="Arial"/>
          <w:sz w:val="24"/>
          <w:szCs w:val="24"/>
        </w:rPr>
        <w:t xml:space="preserve">(</w:t>
      </w:r>
      <w:r>
        <w:rPr>
          <w:rFonts w:cs="Arial"/>
          <w:color w:val="00b050"/>
          <w:sz w:val="24"/>
          <w:szCs w:val="24"/>
          <w:lang w:val="en-US"/>
        </w:rPr>
        <w:t xml:space="preserve">Art. 6º, XXIII, “f” da Lei 14.133/21)</w:t>
      </w:r>
      <w:r>
        <w:rPr>
          <w:rFonts w:ascii="Arial" w:hAnsi="Arial" w:cs="Arial"/>
          <w:sz w:val="24"/>
          <w:szCs w:val="24"/>
        </w:rPr>
      </w:r>
    </w:p>
    <w:p>
      <w:pPr>
        <w:pStyle w:val="1210"/>
        <w:widowControl w:val="false"/>
        <w:pBdr/>
        <w:tabs>
          <w:tab w:val="clear" w:leader="none" w:pos="720"/>
          <w:tab w:val="left" w:leader="none" w:pos="1583"/>
        </w:tabs>
        <w:spacing w:line="360" w:lineRule="auto"/>
        <w:ind w:hanging="680" w:left="737"/>
        <w:jc w:val="both"/>
        <w:rPr>
          <w:rFonts w:ascii="Arial" w:hAnsi="Arial" w:cs="Arial"/>
          <w:sz w:val="24"/>
          <w:szCs w:val="24"/>
        </w:rPr>
      </w:pPr>
      <w:r>
        <w:rPr>
          <w:rFonts w:cs="Arial"/>
          <w:b/>
          <w:bCs/>
          <w:color w:val="000000"/>
          <w:sz w:val="24"/>
          <w:szCs w:val="24"/>
        </w:rPr>
        <w:t xml:space="preserve">9.1. </w:t>
      </w:r>
      <w:r>
        <w:rPr>
          <w:rFonts w:cs="Arial"/>
          <w:color w:val="000000"/>
          <w:sz w:val="24"/>
          <w:szCs w:val="24"/>
        </w:rPr>
        <w:t xml:space="preserve">A Secretaria solicitante indicará para atuarem como gestor e fiscal do contrato:</w:t>
      </w:r>
      <w:r>
        <w:rPr>
          <w:rFonts w:ascii="Arial" w:hAnsi="Arial" w:cs="Arial"/>
          <w:sz w:val="24"/>
          <w:szCs w:val="24"/>
        </w:rPr>
      </w:r>
    </w:p>
    <w:tbl>
      <w:tblPr>
        <w:jc w:val="center"/>
        <w:tblInd w:w="0" w:type="dxa"/>
        <w:tblW w:w="10091" w:type="dxa"/>
        <w:tblCellMar>
          <w:left w:w="108" w:type="dxa"/>
          <w:top w:w="0" w:type="dxa"/>
          <w:right w:w="108" w:type="dxa"/>
          <w:bottom w:w="0" w:type="dxa"/>
        </w:tblCellMar>
        <w:tblBorders/>
        <w:tblLayout w:type="fixed"/>
        <w:tblLook w:val="0400" w:firstRow="0" w:lastRow="0" w:firstColumn="0" w:lastColumn="0" w:noHBand="0" w:noVBand="1"/>
      </w:tblPr>
      <w:tblGrid>
        <w:gridCol w:w="3861"/>
        <w:gridCol w:w="3503"/>
        <w:gridCol w:w="2727"/>
      </w:tblGrid>
      <w:tr>
        <w:trPr/>
        <w:tc>
          <w:tcPr>
            <w:shd w:val="clear" w:color="ffffff" w:fill="d9d9d9"/>
            <w:tcBorders>
              <w:top w:val="single" w:color="000000" w:sz="4" w:space="0"/>
              <w:left w:val="single" w:color="000000" w:sz="4" w:space="0"/>
              <w:bottom w:val="single" w:color="000000" w:sz="4" w:space="0"/>
              <w:right w:val="single" w:color="000000" w:sz="4" w:space="0"/>
            </w:tcBorders>
            <w:tcW w:w="3861" w:type="dxa"/>
            <w:textDirection w:val="lrTb"/>
            <w:noWrap w:val="false"/>
          </w:tcPr>
          <w:p>
            <w:pPr>
              <w:pStyle w:val="1056"/>
              <w:pBdr/>
              <w:spacing w:after="120" w:before="120" w:line="360" w:lineRule="auto"/>
              <w:ind/>
              <w:jc w:val="center"/>
              <w:rPr>
                <w:color w:val="000000" w:themeColor="text1"/>
                <w:sz w:val="24"/>
                <w:szCs w:val="24"/>
              </w:rPr>
            </w:pPr>
            <w:r>
              <w:rPr>
                <w:rFonts w:cs="Arial"/>
                <w:b/>
                <w:color w:val="000000" w:themeColor="text1"/>
                <w:sz w:val="24"/>
                <w:szCs w:val="24"/>
              </w:rPr>
              <w:t xml:space="preserve">Órgão</w:t>
            </w:r>
            <w:r>
              <w:rPr>
                <w:color w:val="000000" w:themeColor="text1"/>
                <w:sz w:val="24"/>
                <w:szCs w:val="24"/>
              </w:rPr>
            </w:r>
          </w:p>
        </w:tc>
        <w:tc>
          <w:tcPr>
            <w:shd w:val="clear" w:color="ffffff" w:fill="d9d9d9"/>
            <w:tcBorders>
              <w:top w:val="single" w:color="000000" w:sz="4" w:space="0"/>
              <w:left w:val="single" w:color="000000" w:sz="4" w:space="0"/>
              <w:bottom w:val="single" w:color="000000" w:sz="4" w:space="0"/>
            </w:tcBorders>
            <w:tcW w:w="3503" w:type="dxa"/>
            <w:textDirection w:val="lrTb"/>
            <w:noWrap w:val="false"/>
          </w:tcPr>
          <w:p>
            <w:pPr>
              <w:pStyle w:val="1056"/>
              <w:pBdr/>
              <w:spacing w:after="120" w:before="120" w:line="360" w:lineRule="auto"/>
              <w:ind/>
              <w:jc w:val="center"/>
              <w:rPr>
                <w:color w:val="000000" w:themeColor="text1"/>
                <w:sz w:val="24"/>
                <w:szCs w:val="24"/>
              </w:rPr>
            </w:pPr>
            <w:r>
              <w:rPr>
                <w:rFonts w:cs="Arial"/>
                <w:b/>
                <w:color w:val="000000" w:themeColor="text1"/>
                <w:sz w:val="24"/>
                <w:szCs w:val="24"/>
              </w:rPr>
              <w:t xml:space="preserve">Gestor do Contrato</w:t>
            </w:r>
            <w:r>
              <w:rPr>
                <w:color w:val="000000" w:themeColor="text1"/>
                <w:sz w:val="24"/>
                <w:szCs w:val="24"/>
              </w:rPr>
            </w:r>
          </w:p>
        </w:tc>
        <w:tc>
          <w:tcPr>
            <w:shd w:val="clear" w:color="ffffff" w:fill="d9d9d9"/>
            <w:tcBorders>
              <w:top w:val="single" w:color="000000" w:sz="4" w:space="0"/>
              <w:left w:val="single" w:color="000000" w:sz="4" w:space="0"/>
              <w:bottom w:val="single" w:color="000000" w:sz="4" w:space="0"/>
              <w:right w:val="single" w:color="000000" w:sz="4" w:space="0"/>
            </w:tcBorders>
            <w:tcW w:w="2727" w:type="dxa"/>
            <w:textDirection w:val="lrTb"/>
            <w:noWrap w:val="false"/>
          </w:tcPr>
          <w:p>
            <w:pPr>
              <w:pStyle w:val="1056"/>
              <w:pBdr/>
              <w:spacing w:after="120" w:before="120" w:line="360" w:lineRule="auto"/>
              <w:ind/>
              <w:jc w:val="center"/>
              <w:rPr>
                <w:color w:val="000000" w:themeColor="text1"/>
                <w:sz w:val="24"/>
                <w:szCs w:val="24"/>
              </w:rPr>
            </w:pPr>
            <w:r>
              <w:rPr>
                <w:rFonts w:cs="Arial"/>
                <w:b/>
                <w:color w:val="000000" w:themeColor="text1"/>
                <w:sz w:val="24"/>
                <w:szCs w:val="24"/>
              </w:rPr>
              <w:t xml:space="preserve">Fiscais do Contrato</w:t>
            </w:r>
            <w:r>
              <w:rPr>
                <w:color w:val="000000" w:themeColor="text1"/>
                <w:sz w:val="24"/>
                <w:szCs w:val="24"/>
              </w:rPr>
            </w:r>
          </w:p>
        </w:tc>
      </w:tr>
      <w:tr>
        <w:trPr/>
        <w:tc>
          <w:tcPr>
            <w:tcBorders>
              <w:top w:val="single" w:color="000000" w:sz="4" w:space="0"/>
              <w:left w:val="single" w:color="000000" w:sz="4" w:space="0"/>
              <w:bottom w:val="single" w:color="000000" w:sz="4" w:space="0"/>
              <w:right w:val="single" w:color="000000" w:sz="4" w:space="0"/>
            </w:tcBorders>
            <w:tcW w:w="3861" w:type="dxa"/>
            <w:vAlign w:val="center"/>
            <w:textDirection w:val="lrTb"/>
            <w:noWrap w:val="false"/>
          </w:tcPr>
          <w:p>
            <w:pPr>
              <w:pStyle w:val="1056"/>
              <w:pBdr/>
              <w:spacing w:after="120" w:before="120"/>
              <w:ind/>
              <w:jc w:val="both"/>
              <w:rPr>
                <w:color w:val="000000" w:themeColor="text1"/>
                <w:sz w:val="24"/>
                <w:szCs w:val="24"/>
              </w:rPr>
            </w:pPr>
            <w:r>
              <w:rPr>
                <w:rFonts w:cs="Arial"/>
                <w:color w:val="000000" w:themeColor="text1"/>
                <w:sz w:val="24"/>
                <w:szCs w:val="24"/>
              </w:rPr>
              <w:t xml:space="preserve">Secretaria Municipal de Governo</w:t>
            </w:r>
            <w:r>
              <w:rPr>
                <w:color w:val="000000" w:themeColor="text1"/>
                <w:sz w:val="24"/>
                <w:szCs w:val="24"/>
              </w:rPr>
            </w:r>
          </w:p>
        </w:tc>
        <w:tc>
          <w:tcPr>
            <w:tcBorders>
              <w:top w:val="single" w:color="000000" w:sz="4" w:space="0"/>
              <w:left w:val="single" w:color="000000" w:sz="4" w:space="0"/>
              <w:bottom w:val="single" w:color="000000" w:sz="4" w:space="0"/>
            </w:tcBorders>
            <w:tcW w:w="3503" w:type="dxa"/>
            <w:vAlign w:val="center"/>
            <w:textDirection w:val="lrTb"/>
            <w:noWrap w:val="false"/>
          </w:tcPr>
          <w:p>
            <w:pPr>
              <w:pStyle w:val="1056"/>
              <w:widowControl w:val="false"/>
              <w:pBdr/>
              <w:tabs>
                <w:tab w:val="left" w:leader="none" w:pos="704"/>
                <w:tab w:val="clear" w:leader="none" w:pos="720"/>
              </w:tabs>
              <w:spacing w:after="120" w:before="1" w:line="276" w:lineRule="auto"/>
              <w:ind/>
              <w:jc w:val="both"/>
              <w:rPr>
                <w:color w:val="000000" w:themeColor="text1"/>
                <w:sz w:val="24"/>
                <w:szCs w:val="24"/>
              </w:rPr>
            </w:pPr>
            <w:r>
              <w:rPr>
                <w:rFonts w:eastAsia="Arial" w:cs="Arial"/>
                <w:bCs/>
                <w:color w:val="000000" w:themeColor="text1"/>
                <w:sz w:val="24"/>
                <w:szCs w:val="24"/>
              </w:rPr>
              <w:t xml:space="preserve">Mário Vasconcellos Fernandes</w:t>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2727" w:type="dxa"/>
            <w:vAlign w:val="center"/>
            <w:textDirection w:val="lrTb"/>
            <w:noWrap w:val="false"/>
          </w:tcPr>
          <w:p>
            <w:pPr>
              <w:pStyle w:val="1056"/>
              <w:widowControl w:val="false"/>
              <w:pBdr/>
              <w:tabs>
                <w:tab w:val="left" w:leader="none" w:pos="704"/>
                <w:tab w:val="clear" w:leader="none" w:pos="720"/>
              </w:tabs>
              <w:spacing w:after="120" w:before="1" w:line="276" w:lineRule="auto"/>
              <w:ind/>
              <w:jc w:val="both"/>
              <w:rPr>
                <w:color w:val="000000" w:themeColor="text1"/>
                <w:sz w:val="24"/>
                <w:szCs w:val="24"/>
              </w:rPr>
            </w:pPr>
            <w:r>
              <w:rPr>
                <w:rFonts w:cs="Arial"/>
                <w:color w:val="000000" w:themeColor="text1"/>
                <w:sz w:val="24"/>
                <w:szCs w:val="24"/>
              </w:rPr>
              <w:t xml:space="preserve">Fábia Ramires de Souza</w:t>
            </w:r>
            <w:r>
              <w:rPr>
                <w:color w:val="000000" w:themeColor="text1"/>
                <w:sz w:val="24"/>
                <w:szCs w:val="24"/>
              </w:rPr>
            </w:r>
          </w:p>
        </w:tc>
      </w:tr>
    </w:tbl>
    <w:p>
      <w:pPr>
        <w:pStyle w:val="1056"/>
        <w:pBdr/>
        <w:tabs>
          <w:tab w:val="clear" w:leader="none" w:pos="720"/>
          <w:tab w:val="left" w:leader="none" w:pos="1276"/>
        </w:tabs>
        <w:spacing w:line="360" w:lineRule="auto"/>
        <w:ind/>
        <w:jc w:val="both"/>
        <w:rPr>
          <w:color w:val="000000"/>
          <w:sz w:val="24"/>
          <w:szCs w:val="24"/>
        </w:rPr>
      </w:pPr>
      <w:r>
        <w:rPr>
          <w:color w:val="000000"/>
          <w:sz w:val="24"/>
          <w:szCs w:val="24"/>
        </w:rPr>
        <w:t xml:space="preserve"> </w:t>
      </w:r>
      <w:r>
        <w:rPr>
          <w:color w:val="000000"/>
          <w:sz w:val="24"/>
          <w:szCs w:val="24"/>
        </w:rPr>
      </w:r>
      <w:r>
        <w:rPr>
          <w:rFonts w:cs="Arial"/>
          <w:b/>
          <w:bCs/>
          <w:sz w:val="24"/>
          <w:szCs w:val="24"/>
        </w:rPr>
        <w:t xml:space="preserve">9.2.</w:t>
      </w:r>
      <w:r>
        <w:rPr>
          <w:sz w:val="24"/>
          <w:szCs w:val="24"/>
        </w:rPr>
        <w:t xml:space="preserve"> </w:t>
      </w:r>
      <w:r>
        <w:rPr>
          <w:rStyle w:val="1117"/>
          <w:rFonts w:cs="Arial"/>
          <w:b w:val="0"/>
          <w:bCs w:val="0"/>
          <w:color w:val="000000"/>
          <w:sz w:val="24"/>
          <w:szCs w:val="24"/>
        </w:rPr>
        <w:t xml:space="preserve">A Contratada ficará responsável por </w:t>
      </w:r>
      <w:r>
        <w:rPr>
          <w:rStyle w:val="1117"/>
          <w:rFonts w:cs="Arial"/>
          <w:b w:val="0"/>
          <w:bCs w:val="0"/>
          <w:color w:val="000000"/>
          <w:sz w:val="24"/>
          <w:szCs w:val="24"/>
        </w:rPr>
        <w:t xml:space="preserve">atestar, no documento fiscal correspondente, que os serviços de dedetização prestados estão em conformidade com as especificações e quantidades solicitadas, incluindo as ações de desratização, descupinização, desinsetização, controle de escorpiões e expurg</w:t>
      </w:r>
      <w:r>
        <w:rPr>
          <w:rStyle w:val="1117"/>
          <w:rFonts w:cs="Arial"/>
          <w:b w:val="0"/>
          <w:bCs w:val="0"/>
          <w:color w:val="000000"/>
          <w:sz w:val="24"/>
          <w:szCs w:val="24"/>
        </w:rPr>
        <w:t xml:space="preserve">o. Caso os serviços fornecidos apresentem qualquer não conformidade técnica, como falhas na execução ou insuficiência no controle das pragas, a Contratada deverá corrigir ou repetir os serviços dentro do prazo estipulado, sem ônus para o órgão solicitante.</w:t>
      </w:r>
      <w:r>
        <w:rPr>
          <w:rFonts w:ascii="Arial" w:hAnsi="Arial" w:cs="Arial"/>
          <w:color w:val="000000"/>
          <w:sz w:val="24"/>
          <w:szCs w:val="24"/>
        </w:rPr>
      </w:r>
      <w:r>
        <w:rPr>
          <w:color w:val="000000"/>
          <w:sz w:val="24"/>
          <w:szCs w:val="24"/>
        </w:rPr>
      </w:r>
    </w:p>
    <w:p>
      <w:pPr>
        <w:pStyle w:val="1056"/>
        <w:pBdr/>
        <w:tabs>
          <w:tab w:val="clear" w:leader="none" w:pos="720"/>
          <w:tab w:val="left" w:leader="none" w:pos="1276"/>
        </w:tabs>
        <w:spacing w:line="276" w:lineRule="auto"/>
        <w:ind/>
        <w:jc w:val="both"/>
        <w:rPr>
          <w:rFonts w:ascii="Arial" w:hAnsi="Arial" w:cs="Arial"/>
          <w:color w:val="000000"/>
          <w:sz w:val="24"/>
          <w:szCs w:val="24"/>
        </w:rPr>
      </w:pPr>
      <w:r>
        <w:rPr>
          <w:rFonts w:cs="Arial"/>
          <w:color w:val="000000"/>
          <w:sz w:val="24"/>
          <w:szCs w:val="24"/>
        </w:rPr>
      </w:r>
      <w:r>
        <w:rPr>
          <w:rFonts w:ascii="Arial" w:hAnsi="Arial" w:cs="Arial"/>
          <w:color w:val="000000"/>
          <w:sz w:val="24"/>
          <w:szCs w:val="24"/>
        </w:rPr>
      </w:r>
    </w:p>
    <w:p>
      <w:pPr>
        <w:pStyle w:val="1165"/>
        <w:pBdr/>
        <w:spacing w:after="283" w:before="120" w:line="276" w:lineRule="auto"/>
        <w:ind/>
        <w:rPr>
          <w:sz w:val="24"/>
          <w:szCs w:val="24"/>
        </w:rPr>
      </w:pPr>
      <w:r>
        <w:rPr>
          <w:rStyle w:val="1117"/>
          <w:rFonts w:cs="Arial"/>
          <w:sz w:val="24"/>
          <w:szCs w:val="24"/>
        </w:rPr>
        <w:t xml:space="preserve">9.3.</w:t>
      </w:r>
      <w:r>
        <w:rPr>
          <w:rStyle w:val="1117"/>
          <w:rFonts w:cs="Arial"/>
          <w:b w:val="0"/>
          <w:bCs w:val="0"/>
          <w:color w:val="000000"/>
          <w:sz w:val="24"/>
          <w:szCs w:val="24"/>
        </w:rPr>
        <w:t xml:space="preserve"> A administração municipal, por meio da Secretaria Municipal de Administração, garante que o processo de contratação dos</w:t>
      </w:r>
      <w:r>
        <w:rPr>
          <w:rStyle w:val="1117"/>
          <w:rFonts w:cs="Arial"/>
          <w:b w:val="0"/>
          <w:bCs w:val="0"/>
          <w:color w:val="000000"/>
          <w:sz w:val="24"/>
          <w:szCs w:val="24"/>
        </w:rPr>
        <w:t xml:space="preserve"> serviços de dedetização será realizado de acordo com as normas legais vigentes, com a devida fiscalização para assegurar que os serviços atendam aos padrões exigidos. A Contratada, portanto, deverá assegurar a execução dos serviços dentro das condições ac</w:t>
      </w:r>
      <w:r>
        <w:rPr>
          <w:rStyle w:val="1117"/>
          <w:rFonts w:cs="Arial"/>
          <w:b w:val="0"/>
          <w:bCs w:val="0"/>
          <w:color w:val="000000"/>
          <w:sz w:val="24"/>
          <w:szCs w:val="24"/>
        </w:rPr>
        <w:t xml:space="preserve">ordadas, atendendo às especificações estipuladas no contrato, e será responsável por eventuais ajustes ou novas intervenções necessárias, para que os ambientes dos prédios públicos estejam livres das pragas e em condições adequadas de segurança e higiene. </w:t>
      </w:r>
      <w:r>
        <w:rPr>
          <w:sz w:val="24"/>
          <w:szCs w:val="24"/>
        </w:rPr>
      </w:r>
    </w:p>
    <w:p>
      <w:pPr>
        <w:pStyle w:val="1165"/>
        <w:pBdr/>
        <w:spacing w:after="283" w:before="120" w:line="276" w:lineRule="auto"/>
        <w:ind/>
        <w:rPr>
          <w:sz w:val="24"/>
          <w:szCs w:val="24"/>
        </w:rPr>
      </w:pPr>
      <w:r>
        <w:rPr>
          <w:rStyle w:val="1117"/>
          <w:rFonts w:cs="Arial"/>
          <w:sz w:val="24"/>
          <w:szCs w:val="24"/>
        </w:rPr>
        <w:t xml:space="preserve">9.4.</w:t>
      </w:r>
      <w:r>
        <w:rPr>
          <w:rStyle w:val="1117"/>
          <w:rFonts w:cs="Arial"/>
          <w:b w:val="0"/>
          <w:bCs w:val="0"/>
          <w:color w:val="000000"/>
          <w:sz w:val="24"/>
          <w:szCs w:val="24"/>
        </w:rPr>
        <w:t xml:space="preserve"> A fiscalização mencionada neste item não exclui nem reduz a responsabilidade da Contratada, inclusive em relação a terceiros, por quaisquer irre</w:t>
      </w:r>
      <w:r>
        <w:rPr>
          <w:rStyle w:val="1117"/>
          <w:rFonts w:cs="Arial"/>
          <w:b w:val="0"/>
          <w:bCs w:val="0"/>
          <w:color w:val="000000"/>
          <w:sz w:val="24"/>
          <w:szCs w:val="24"/>
        </w:rPr>
        <w:t xml:space="preserve">gularidades que possam ocorrer, como eventuais falhas técnicas, uso de produtos inadequados ou outros vícios na execução dos serviços. A constatação dessas irregularidades não implica em corresponsabilidade da Administração ou de seus agentes e prepostos. </w:t>
      </w:r>
      <w:r>
        <w:rPr>
          <w:sz w:val="24"/>
          <w:szCs w:val="24"/>
        </w:rPr>
      </w:r>
    </w:p>
    <w:p>
      <w:pPr>
        <w:pStyle w:val="1056"/>
        <w:pBdr/>
        <w:tabs>
          <w:tab w:val="clear" w:leader="none" w:pos="720"/>
          <w:tab w:val="left" w:leader="none" w:pos="1276"/>
        </w:tabs>
        <w:spacing w:line="276" w:lineRule="auto"/>
        <w:ind/>
        <w:jc w:val="both"/>
        <w:rPr>
          <w:rFonts w:ascii="Arial" w:hAnsi="Arial" w:cs="Arial"/>
          <w:color w:val="000000"/>
          <w:sz w:val="24"/>
          <w:szCs w:val="24"/>
        </w:rPr>
      </w:pPr>
      <w:r>
        <w:rPr>
          <w:rFonts w:cs="Arial"/>
          <w:color w:val="000000"/>
          <w:sz w:val="24"/>
          <w:szCs w:val="24"/>
        </w:rPr>
      </w:r>
      <w:r>
        <w:rPr>
          <w:rFonts w:ascii="Arial" w:hAnsi="Arial" w:cs="Arial"/>
          <w:color w:val="000000"/>
          <w:sz w:val="24"/>
          <w:szCs w:val="24"/>
        </w:rPr>
      </w:r>
    </w:p>
    <w:p>
      <w:pPr>
        <w:pStyle w:val="1210"/>
        <w:pBdr/>
        <w:tabs>
          <w:tab w:val="clear" w:leader="none" w:pos="720"/>
          <w:tab w:val="left" w:leader="none" w:pos="1276"/>
        </w:tabs>
        <w:spacing w:line="360" w:lineRule="auto"/>
        <w:ind w:left="0"/>
        <w:jc w:val="both"/>
        <w:rPr>
          <w:color w:val="000000"/>
          <w:sz w:val="24"/>
          <w:szCs w:val="24"/>
        </w:rPr>
      </w:pPr>
      <w:r>
        <w:rPr>
          <w:rFonts w:cs="Arial"/>
          <w:b/>
          <w:color w:val="000000"/>
          <w:sz w:val="24"/>
          <w:szCs w:val="24"/>
        </w:rPr>
        <w:t xml:space="preserve">10. CRITÉRIOS DE MEDIÇÃO E DE PAGAMENTO </w:t>
      </w:r>
      <w:r>
        <w:rPr>
          <w:rFonts w:cs="Arial"/>
          <w:color w:val="000000"/>
          <w:sz w:val="24"/>
          <w:szCs w:val="24"/>
        </w:rPr>
        <w:t xml:space="preserve">(</w:t>
      </w:r>
      <w:r>
        <w:rPr>
          <w:rFonts w:cs="Arial"/>
          <w:color w:val="000000"/>
          <w:sz w:val="24"/>
          <w:szCs w:val="24"/>
          <w:lang w:val="en-US"/>
        </w:rPr>
        <w:t xml:space="preserve">Art. 6º, XXIII, “g” da Lei 14.133/21)</w:t>
      </w:r>
      <w:r>
        <w:rPr>
          <w:color w:val="000000"/>
          <w:sz w:val="24"/>
          <w:szCs w:val="24"/>
        </w:rPr>
      </w:r>
    </w:p>
    <w:p>
      <w:pPr>
        <w:pStyle w:val="1210"/>
        <w:pBdr/>
        <w:tabs>
          <w:tab w:val="clear" w:leader="none" w:pos="720"/>
          <w:tab w:val="left" w:leader="none" w:pos="1276"/>
        </w:tabs>
        <w:spacing w:line="276" w:lineRule="auto"/>
        <w:ind w:left="-57"/>
        <w:jc w:val="both"/>
        <w:rPr>
          <w:sz w:val="24"/>
          <w:szCs w:val="24"/>
        </w:rPr>
      </w:pPr>
      <w:r>
        <w:rPr>
          <w:rFonts w:cs="Arial"/>
          <w:b/>
          <w:bCs/>
          <w:color w:val="000000"/>
          <w:sz w:val="24"/>
          <w:szCs w:val="24"/>
        </w:rPr>
        <w:t xml:space="preserve">10.1.</w:t>
      </w:r>
      <w:r>
        <w:rPr>
          <w:rFonts w:cs="Arial"/>
          <w:color w:val="000000"/>
          <w:sz w:val="24"/>
          <w:szCs w:val="24"/>
        </w:rPr>
        <w:t xml:space="preserve"> Os pagamentos serão efetuados em até 30 (trinta) dias após a execução dos serviços e a apresentação das Notas Fiscais devidamente atestadas pela fiscalização responsável. </w:t>
      </w:r>
      <w:r>
        <w:rPr>
          <w:sz w:val="24"/>
          <w:szCs w:val="24"/>
        </w:rPr>
      </w:r>
    </w:p>
    <w:p>
      <w:pPr>
        <w:pStyle w:val="1210"/>
        <w:pBdr/>
        <w:tabs>
          <w:tab w:val="clear" w:leader="none" w:pos="720"/>
          <w:tab w:val="left" w:leader="none" w:pos="1276"/>
        </w:tabs>
        <w:spacing/>
        <w:ind/>
        <w:jc w:val="both"/>
        <w:rPr>
          <w:color w:val="000000"/>
          <w:sz w:val="24"/>
          <w:szCs w:val="24"/>
        </w:rPr>
      </w:pPr>
      <w:r>
        <w:rPr>
          <w:color w:val="000000"/>
          <w:sz w:val="24"/>
          <w:szCs w:val="24"/>
        </w:rPr>
      </w:r>
      <w:r>
        <w:rPr>
          <w:color w:val="000000"/>
          <w:sz w:val="24"/>
          <w:szCs w:val="24"/>
        </w:rPr>
      </w:r>
    </w:p>
    <w:p>
      <w:pPr>
        <w:pStyle w:val="1210"/>
        <w:pBdr/>
        <w:tabs>
          <w:tab w:val="clear" w:leader="none" w:pos="720"/>
          <w:tab w:val="left" w:leader="none" w:pos="1276"/>
        </w:tabs>
        <w:spacing w:line="276" w:lineRule="auto"/>
        <w:ind w:left="0"/>
        <w:jc w:val="both"/>
        <w:rPr>
          <w:sz w:val="24"/>
          <w:szCs w:val="24"/>
        </w:rPr>
      </w:pPr>
      <w:r>
        <w:rPr>
          <w:rFonts w:cs="Arial"/>
          <w:b/>
          <w:bCs/>
          <w:color w:val="000000"/>
          <w:sz w:val="24"/>
          <w:szCs w:val="24"/>
        </w:rPr>
        <w:t xml:space="preserve">10.2.</w:t>
      </w:r>
      <w:r>
        <w:rPr>
          <w:rFonts w:cs="Arial"/>
          <w:color w:val="000000"/>
          <w:sz w:val="24"/>
          <w:szCs w:val="24"/>
        </w:rPr>
        <w:t xml:space="preserve"> </w:t>
      </w:r>
      <w:r>
        <w:rPr>
          <w:rFonts w:eastAsia="Arial" w:cs="Arial"/>
          <w:color w:val="000000"/>
          <w:sz w:val="24"/>
          <w:szCs w:val="24"/>
        </w:rPr>
        <w:t xml:space="preserve">Aplicações mensais para o controle de todos os vetores e pragas (Baratas, Formigas e roedores). No caso de cupins, pulgas, carrapatos e demais por solicitação de ocorrências.</w:t>
      </w:r>
      <w:r>
        <w:rPr>
          <w:sz w:val="24"/>
          <w:szCs w:val="24"/>
        </w:rPr>
      </w:r>
    </w:p>
    <w:p>
      <w:pPr>
        <w:pStyle w:val="1210"/>
        <w:pBdr/>
        <w:tabs>
          <w:tab w:val="clear" w:leader="none" w:pos="720"/>
          <w:tab w:val="left" w:leader="none" w:pos="1276"/>
        </w:tabs>
        <w:spacing w:line="276" w:lineRule="auto"/>
        <w:ind w:left="0"/>
        <w:jc w:val="both"/>
        <w:rPr>
          <w:rFonts w:ascii="Arial" w:hAnsi="Arial" w:cs="Arial"/>
          <w:color w:val="000000"/>
          <w:sz w:val="24"/>
          <w:szCs w:val="24"/>
        </w:rPr>
      </w:pPr>
      <w:r>
        <w:rPr>
          <w:rFonts w:cs="Arial"/>
          <w:color w:val="000000"/>
          <w:sz w:val="24"/>
          <w:szCs w:val="24"/>
        </w:rPr>
      </w:r>
      <w:r>
        <w:rPr>
          <w:rFonts w:ascii="Arial" w:hAnsi="Arial" w:cs="Arial"/>
          <w:color w:val="000000"/>
          <w:sz w:val="24"/>
          <w:szCs w:val="24"/>
        </w:rPr>
      </w:r>
    </w:p>
    <w:p>
      <w:pPr>
        <w:pStyle w:val="1056"/>
        <w:pBdr/>
        <w:tabs>
          <w:tab w:val="left" w:leader="none" w:pos="164"/>
          <w:tab w:val="clear" w:leader="none" w:pos="720"/>
        </w:tabs>
        <w:spacing w:line="360" w:lineRule="auto"/>
        <w:ind w:left="113"/>
        <w:jc w:val="both"/>
        <w:rPr>
          <w:rFonts w:ascii="Arial" w:hAnsi="Arial" w:cs="Arial"/>
          <w:color w:val="000000"/>
          <w:sz w:val="24"/>
          <w:szCs w:val="24"/>
        </w:rPr>
      </w:pPr>
      <w:r>
        <w:rPr>
          <w:rFonts w:cs="Arial"/>
          <w:b/>
          <w:color w:val="000000"/>
          <w:sz w:val="24"/>
          <w:szCs w:val="24"/>
        </w:rPr>
        <w:t xml:space="preserve">11. FORMA E CRITÉRIOS DE SELEÇÃO DO FORNECEDOR</w:t>
      </w:r>
      <w:r>
        <w:rPr>
          <w:rFonts w:cs="Arial"/>
          <w:color w:val="ff0000"/>
          <w:sz w:val="24"/>
          <w:szCs w:val="24"/>
        </w:rPr>
        <w:t xml:space="preserve"> </w:t>
      </w:r>
      <w:r>
        <w:rPr>
          <w:rFonts w:cs="Arial"/>
          <w:color w:val="000000"/>
          <w:sz w:val="24"/>
          <w:szCs w:val="24"/>
        </w:rPr>
        <w:t xml:space="preserve">(</w:t>
      </w:r>
      <w:r>
        <w:rPr>
          <w:rFonts w:cs="Arial"/>
          <w:color w:val="00b050"/>
          <w:sz w:val="24"/>
          <w:szCs w:val="24"/>
          <w:lang w:val="en-US"/>
        </w:rPr>
        <w:t xml:space="preserve">Art. 6º, XXIII, “h” da Lei 14.133/21)</w:t>
      </w:r>
      <w:r>
        <w:rPr>
          <w:rFonts w:ascii="Arial" w:hAnsi="Arial" w:cs="Arial"/>
          <w:color w:val="000000"/>
          <w:sz w:val="24"/>
          <w:szCs w:val="24"/>
        </w:rPr>
      </w:r>
    </w:p>
    <w:p>
      <w:pPr>
        <w:pStyle w:val="1210"/>
        <w:pBdr/>
        <w:tabs>
          <w:tab w:val="left" w:leader="none" w:pos="450"/>
          <w:tab w:val="left" w:leader="none" w:pos="573"/>
          <w:tab w:val="clear" w:leader="none" w:pos="720"/>
          <w:tab w:val="left" w:leader="none" w:pos="1276"/>
        </w:tabs>
        <w:spacing w:line="276" w:lineRule="auto"/>
        <w:ind w:left="113"/>
        <w:jc w:val="both"/>
        <w:rPr>
          <w:rFonts w:ascii="Arial" w:hAnsi="Arial" w:cs="Arial"/>
          <w:sz w:val="24"/>
          <w:szCs w:val="24"/>
        </w:rPr>
      </w:pPr>
      <w:r>
        <w:rPr>
          <w:rFonts w:cs="Arial"/>
          <w:b/>
          <w:bCs/>
          <w:sz w:val="24"/>
          <w:szCs w:val="24"/>
          <w:shd w:val="clear" w:color="auto" w:fill="ffffff"/>
        </w:rPr>
        <w:t xml:space="preserve">11.1. </w:t>
      </w:r>
      <w:r>
        <w:rPr>
          <w:rFonts w:cs="Arial"/>
          <w:sz w:val="24"/>
          <w:szCs w:val="24"/>
          <w:shd w:val="clear" w:color="auto" w:fill="ffffff"/>
        </w:rPr>
        <w:t xml:space="preserve"> </w:t>
      </w:r>
      <w:r>
        <w:rPr>
          <w:rFonts w:cs="Arial"/>
          <w:sz w:val="24"/>
          <w:szCs w:val="24"/>
        </w:rPr>
        <w:t xml:space="preserve">O procedimento será realizado por meio de Pregão Eletrônico, na forma do, art. 28, inciso I</w:t>
      </w:r>
      <w:r>
        <w:rPr>
          <w:rFonts w:cs="Arial"/>
          <w:sz w:val="24"/>
          <w:szCs w:val="24"/>
          <w:lang w:val="en-US"/>
        </w:rPr>
        <w:t xml:space="preserve"> da Lei 14.133/21</w:t>
      </w:r>
      <w:r>
        <w:rPr>
          <w:rFonts w:cs="Arial"/>
          <w:sz w:val="24"/>
          <w:szCs w:val="24"/>
        </w:rPr>
        <w:t xml:space="preserve">, onde para seleção do fornecedor será utilizado o critério de julgamento o Menor Preço por Item.</w:t>
      </w:r>
      <w:r>
        <w:rPr>
          <w:rFonts w:ascii="Arial" w:hAnsi="Arial" w:cs="Arial"/>
          <w:sz w:val="24"/>
          <w:szCs w:val="24"/>
        </w:rPr>
      </w:r>
    </w:p>
    <w:p>
      <w:pPr>
        <w:pStyle w:val="1210"/>
        <w:pBdr/>
        <w:tabs>
          <w:tab w:val="clear" w:leader="none" w:pos="720"/>
          <w:tab w:val="left" w:leader="none" w:pos="1276"/>
        </w:tabs>
        <w:spacing w:line="360" w:lineRule="auto"/>
        <w:ind w:left="765"/>
        <w:jc w:val="both"/>
        <w:rPr>
          <w:rFonts w:ascii="Arial" w:hAnsi="Arial" w:cs="Arial"/>
          <w:color w:val="000000"/>
          <w:sz w:val="24"/>
          <w:szCs w:val="24"/>
        </w:rPr>
      </w:pPr>
      <w:r>
        <w:rPr>
          <w:rFonts w:cs="Arial"/>
          <w:color w:val="000000"/>
          <w:sz w:val="24"/>
          <w:szCs w:val="24"/>
        </w:rPr>
      </w:r>
      <w:r>
        <w:rPr>
          <w:rFonts w:ascii="Arial" w:hAnsi="Arial" w:cs="Arial"/>
          <w:color w:val="000000"/>
          <w:sz w:val="24"/>
          <w:szCs w:val="24"/>
        </w:rPr>
      </w:r>
    </w:p>
    <w:p>
      <w:pPr>
        <w:pStyle w:val="1210"/>
        <w:pBdr/>
        <w:tabs>
          <w:tab w:val="clear" w:leader="none" w:pos="720"/>
          <w:tab w:val="left" w:leader="none" w:pos="1276"/>
        </w:tabs>
        <w:spacing w:line="276" w:lineRule="auto"/>
        <w:ind w:left="57"/>
        <w:jc w:val="both"/>
        <w:rPr>
          <w:rFonts w:ascii="Arial" w:hAnsi="Arial" w:cs="Arial"/>
          <w:b/>
          <w:bCs/>
          <w:sz w:val="24"/>
          <w:szCs w:val="24"/>
        </w:rPr>
      </w:pPr>
      <w:r>
        <w:rPr>
          <w:rFonts w:cs="Arial"/>
          <w:b/>
          <w:bCs/>
          <w:color w:val="000000"/>
          <w:sz w:val="24"/>
          <w:szCs w:val="24"/>
        </w:rPr>
        <w:t xml:space="preserve">12. VA</w:t>
      </w:r>
      <w:r>
        <w:rPr>
          <w:rFonts w:cs="Arial"/>
          <w:b/>
          <w:bCs/>
          <w:sz w:val="24"/>
          <w:szCs w:val="24"/>
        </w:rPr>
        <w:t xml:space="preserve">LOR ESTIMADO (Art. 6º, XXIII, “i” da Lei 14.133/21)</w:t>
      </w:r>
      <w:r>
        <w:rPr>
          <w:rFonts w:ascii="Arial" w:hAnsi="Arial" w:cs="Arial"/>
          <w:b/>
          <w:bCs/>
          <w:sz w:val="24"/>
          <w:szCs w:val="24"/>
        </w:rPr>
      </w:r>
    </w:p>
    <w:p>
      <w:pPr>
        <w:pStyle w:val="1210"/>
        <w:pBdr/>
        <w:tabs>
          <w:tab w:val="clear" w:leader="none" w:pos="720"/>
          <w:tab w:val="left" w:leader="none" w:pos="1276"/>
        </w:tabs>
        <w:spacing w:line="276" w:lineRule="auto"/>
        <w:ind w:left="57"/>
        <w:jc w:val="both"/>
        <w:rPr>
          <w:rFonts w:ascii="Arial" w:hAnsi="Arial" w:cs="Arial"/>
          <w:b/>
          <w:bCs/>
          <w:sz w:val="24"/>
          <w:szCs w:val="24"/>
        </w:rPr>
      </w:pPr>
      <w:r>
        <w:rPr>
          <w:rFonts w:cs="Arial"/>
          <w:b/>
          <w:bCs/>
          <w:sz w:val="24"/>
          <w:szCs w:val="24"/>
        </w:rPr>
      </w:r>
      <w:r>
        <w:rPr>
          <w:rFonts w:ascii="Arial" w:hAnsi="Arial" w:cs="Arial"/>
          <w:b/>
          <w:bCs/>
          <w:sz w:val="24"/>
          <w:szCs w:val="24"/>
        </w:rPr>
      </w:r>
    </w:p>
    <w:p>
      <w:pPr>
        <w:pStyle w:val="1210"/>
        <w:pBdr/>
        <w:tabs>
          <w:tab w:val="clear" w:leader="none" w:pos="720"/>
          <w:tab w:val="left" w:leader="none" w:pos="1276"/>
        </w:tabs>
        <w:spacing w:line="276" w:lineRule="auto"/>
        <w:ind w:left="57"/>
        <w:jc w:val="both"/>
        <w:rPr>
          <w:rFonts w:ascii="Arial" w:hAnsi="Arial" w:cs="Arial"/>
          <w:sz w:val="24"/>
          <w:szCs w:val="24"/>
        </w:rPr>
      </w:pPr>
      <w:r>
        <w:rPr>
          <w:rFonts w:cs="Arial"/>
          <w:b/>
          <w:bCs/>
          <w:sz w:val="24"/>
          <w:szCs w:val="24"/>
        </w:rPr>
        <w:t xml:space="preserve">12.1.</w:t>
      </w:r>
      <w:r>
        <w:rPr>
          <w:rFonts w:cs="Arial"/>
          <w:sz w:val="24"/>
          <w:szCs w:val="24"/>
        </w:rPr>
        <w:t xml:space="preserve"> O Valor que a Administração se propõe a pagar pela prestação do serviço será de </w:t>
      </w:r>
      <w:r>
        <w:rPr>
          <w:rFonts w:cs="Arial"/>
          <w:b/>
          <w:bCs/>
          <w:sz w:val="24"/>
          <w:szCs w:val="24"/>
        </w:rPr>
        <w:t xml:space="preserve">R$ 72.187,20 (Setenta e dois mil, cento e oitenta e sete reais e vinte centavos). </w:t>
      </w:r>
      <w:r>
        <w:rPr>
          <w:rFonts w:cs="Arial"/>
          <w:sz w:val="24"/>
          <w:szCs w:val="24"/>
        </w:rPr>
        <w:t xml:space="preserve">O valor se baseia na média dos valores consultados no mercado. Conforme dispõe o art. 23 §1º da Lei 14.133/21.</w:t>
      </w:r>
      <w:r>
        <w:rPr>
          <w:rFonts w:ascii="Arial" w:hAnsi="Arial" w:cs="Arial"/>
          <w:sz w:val="24"/>
          <w:szCs w:val="24"/>
        </w:rPr>
      </w:r>
    </w:p>
    <w:p>
      <w:pPr>
        <w:pStyle w:val="1210"/>
        <w:pBdr/>
        <w:tabs>
          <w:tab w:val="clear" w:leader="none" w:pos="720"/>
          <w:tab w:val="left" w:leader="none" w:pos="1276"/>
        </w:tabs>
        <w:spacing w:line="276" w:lineRule="auto"/>
        <w:ind w:left="113"/>
        <w:jc w:val="both"/>
        <w:rPr>
          <w:rFonts w:ascii="Arial" w:hAnsi="Arial" w:cs="Arial"/>
          <w:color w:val="000000"/>
          <w:sz w:val="24"/>
          <w:szCs w:val="24"/>
          <w:highlight w:val="white"/>
          <w:shd w:val="clear" w:color="auto" w:fill="ffff00"/>
        </w:rPr>
      </w:pPr>
      <w:r>
        <w:rPr>
          <w:rFonts w:cs="Arial"/>
          <w:color w:val="000000"/>
          <w:sz w:val="24"/>
          <w:szCs w:val="24"/>
          <w:highlight w:val="white"/>
          <w:shd w:val="clear" w:color="auto" w:fill="ffff00"/>
        </w:rPr>
      </w:r>
      <w:r>
        <w:rPr>
          <w:rFonts w:ascii="Arial" w:hAnsi="Arial" w:cs="Arial"/>
          <w:color w:val="000000"/>
          <w:sz w:val="24"/>
          <w:szCs w:val="24"/>
          <w:highlight w:val="white"/>
          <w:shd w:val="clear" w:color="auto" w:fill="ffff00"/>
        </w:rPr>
      </w:r>
    </w:p>
    <w:p>
      <w:pPr>
        <w:pStyle w:val="1210"/>
        <w:pBdr/>
        <w:tabs>
          <w:tab w:val="clear" w:leader="none" w:pos="720"/>
          <w:tab w:val="left" w:leader="none" w:pos="1276"/>
        </w:tabs>
        <w:spacing w:line="276" w:lineRule="auto"/>
        <w:ind w:left="57"/>
        <w:jc w:val="both"/>
        <w:rPr>
          <w:rFonts w:ascii="Arial" w:hAnsi="Arial" w:cs="Arial"/>
          <w:color w:val="000000"/>
          <w:sz w:val="24"/>
          <w:szCs w:val="24"/>
        </w:rPr>
      </w:pPr>
      <w:r>
        <w:rPr>
          <w:rFonts w:cs="Arial"/>
          <w:b/>
          <w:bCs/>
          <w:sz w:val="24"/>
          <w:szCs w:val="24"/>
        </w:rPr>
        <w:t xml:space="preserve">12.2.</w:t>
      </w:r>
      <w:r>
        <w:rPr>
          <w:rFonts w:cs="Arial"/>
          <w:sz w:val="24"/>
          <w:szCs w:val="24"/>
        </w:rPr>
        <w:t xml:space="preserve"> A metodologia empregada p</w:t>
      </w:r>
      <w:r>
        <w:rPr>
          <w:rFonts w:cs="Arial"/>
          <w:sz w:val="24"/>
          <w:szCs w:val="24"/>
        </w:rPr>
        <w:t xml:space="preserve">ara estimar os valores unitários será através de menor preço por item, obtidos em relação à pesquisa e coleta de preços de mercado, dentre fornecedores do ramo, que se propuseram a apresentar proposta, que justifica por melhor representar cada um dos itens</w:t>
      </w:r>
      <w:r>
        <w:rPr>
          <w:rFonts w:cs="Arial"/>
          <w:color w:val="000000"/>
          <w:sz w:val="24"/>
          <w:szCs w:val="24"/>
        </w:rPr>
        <w:t xml:space="preserve">. </w:t>
      </w:r>
      <w:r>
        <w:rPr>
          <w:rFonts w:ascii="Arial" w:hAnsi="Arial" w:cs="Arial"/>
          <w:color w:val="000000"/>
          <w:sz w:val="24"/>
          <w:szCs w:val="24"/>
        </w:rPr>
      </w:r>
    </w:p>
    <w:p>
      <w:pPr>
        <w:pStyle w:val="1056"/>
        <w:pBdr/>
        <w:spacing/>
        <w:ind/>
        <w:rPr>
          <w:rFonts w:ascii="Arial" w:hAnsi="Arial" w:cs="Arial"/>
          <w:color w:val="c9211e"/>
          <w:sz w:val="24"/>
          <w:szCs w:val="24"/>
        </w:rPr>
      </w:pPr>
      <w:r>
        <w:rPr>
          <w:rFonts w:cs="Arial"/>
          <w:color w:val="c9211e"/>
          <w:sz w:val="24"/>
          <w:szCs w:val="24"/>
        </w:rPr>
      </w:r>
      <w:r>
        <w:rPr>
          <w:rFonts w:ascii="Arial" w:hAnsi="Arial" w:cs="Arial"/>
          <w:color w:val="c9211e"/>
          <w:sz w:val="24"/>
          <w:szCs w:val="24"/>
        </w:rPr>
      </w:r>
    </w:p>
    <w:p>
      <w:pPr>
        <w:pStyle w:val="1210"/>
        <w:pBdr/>
        <w:tabs>
          <w:tab w:val="left" w:leader="none" w:pos="284"/>
          <w:tab w:val="clear" w:leader="none" w:pos="720"/>
        </w:tabs>
        <w:spacing w:line="360" w:lineRule="auto"/>
        <w:ind w:left="0"/>
        <w:jc w:val="both"/>
        <w:rPr>
          <w:color w:val="000000"/>
          <w:sz w:val="24"/>
          <w:szCs w:val="24"/>
        </w:rPr>
      </w:pPr>
      <w:r>
        <w:rPr>
          <w:rFonts w:cs="Arial"/>
          <w:b/>
          <w:color w:val="000000"/>
          <w:sz w:val="24"/>
          <w:szCs w:val="24"/>
        </w:rPr>
        <w:t xml:space="preserve">12. CRÉDITOS ORÇAMENTÁRIOS </w:t>
      </w:r>
      <w:r>
        <w:rPr>
          <w:rFonts w:cs="Arial"/>
          <w:color w:val="000000"/>
          <w:sz w:val="24"/>
          <w:szCs w:val="24"/>
        </w:rPr>
        <w:t xml:space="preserve">(</w:t>
      </w:r>
      <w:r>
        <w:rPr>
          <w:rFonts w:cs="Arial"/>
          <w:color w:val="000000"/>
          <w:sz w:val="24"/>
          <w:szCs w:val="24"/>
          <w:lang w:val="en-US"/>
        </w:rPr>
        <w:t xml:space="preserve">Art. 6º, XXIII, “j” da Lei 14.133/21)</w:t>
      </w:r>
      <w:r>
        <w:rPr>
          <w:color w:val="000000"/>
          <w:sz w:val="24"/>
          <w:szCs w:val="24"/>
        </w:rPr>
      </w:r>
    </w:p>
    <w:p>
      <w:pPr>
        <w:pStyle w:val="1210"/>
        <w:pBdr/>
        <w:tabs>
          <w:tab w:val="left" w:leader="none" w:pos="109"/>
          <w:tab w:val="left" w:leader="none" w:pos="284"/>
          <w:tab w:val="clear" w:leader="none" w:pos="720"/>
        </w:tabs>
        <w:spacing w:line="360" w:lineRule="auto"/>
        <w:ind w:left="0"/>
        <w:jc w:val="both"/>
        <w:rPr>
          <w:color w:val="000000"/>
          <w:sz w:val="24"/>
          <w:szCs w:val="24"/>
        </w:rPr>
      </w:pPr>
      <w:r>
        <w:rPr>
          <w:rFonts w:cs="Arial"/>
          <w:b/>
          <w:bCs/>
          <w:color w:val="000000"/>
          <w:sz w:val="24"/>
          <w:szCs w:val="24"/>
        </w:rPr>
        <w:t xml:space="preserve">12.1.</w:t>
      </w:r>
      <w:r>
        <w:rPr>
          <w:rFonts w:cs="Arial"/>
          <w:color w:val="000000"/>
          <w:sz w:val="24"/>
          <w:szCs w:val="24"/>
        </w:rPr>
        <w:t xml:space="preserve"> As despesas decorrentes desta contratação correrão por conta da Secretaria Municipal de Administração através da seguinte dotação orçamentária:</w:t>
      </w:r>
      <w:r>
        <w:rPr>
          <w:color w:val="000000"/>
          <w:sz w:val="24"/>
          <w:szCs w:val="24"/>
        </w:rPr>
      </w:r>
    </w:p>
    <w:p>
      <w:pPr>
        <w:pStyle w:val="1210"/>
        <w:pBdr/>
        <w:tabs>
          <w:tab w:val="left" w:leader="none" w:pos="284"/>
          <w:tab w:val="clear" w:leader="none" w:pos="720"/>
        </w:tabs>
        <w:spacing w:line="360" w:lineRule="auto"/>
        <w:ind w:left="0"/>
        <w:jc w:val="both"/>
        <w:rPr>
          <w:color w:val="000000"/>
          <w:sz w:val="24"/>
          <w:szCs w:val="24"/>
        </w:rPr>
      </w:pPr>
      <w:r>
        <w:rPr>
          <w:color w:val="000000"/>
          <w:sz w:val="24"/>
          <w:szCs w:val="24"/>
        </w:rPr>
      </w:r>
      <w:r>
        <w:rPr>
          <w:color w:val="000000"/>
          <w:sz w:val="24"/>
          <w:szCs w:val="24"/>
        </w:rPr>
      </w:r>
    </w:p>
    <w:p>
      <w:pPr>
        <w:pStyle w:val="1056"/>
        <w:pBdr/>
        <w:tabs>
          <w:tab w:val="clear" w:leader="none" w:pos="720"/>
          <w:tab w:val="left" w:leader="none" w:pos="2201"/>
        </w:tabs>
        <w:spacing w:line="276" w:lineRule="auto"/>
        <w:ind/>
        <w:rPr>
          <w:color w:val="000000" w:themeColor="text1"/>
          <w:sz w:val="24"/>
          <w:szCs w:val="24"/>
        </w:rPr>
      </w:pPr>
      <w:r>
        <w:rPr>
          <w:rFonts w:cs="Arial"/>
          <w:b/>
          <w:bCs/>
          <w:color w:val="000000" w:themeColor="text1"/>
          <w:sz w:val="24"/>
          <w:szCs w:val="24"/>
        </w:rPr>
        <w:t xml:space="preserve">SECRETARIA MUNICIPAL DE GOVERNO</w:t>
      </w:r>
      <w:r>
        <w:rPr>
          <w:color w:val="000000" w:themeColor="text1"/>
          <w:sz w:val="24"/>
          <w:szCs w:val="24"/>
        </w:rPr>
      </w:r>
    </w:p>
    <w:p>
      <w:pPr>
        <w:pStyle w:val="1056"/>
        <w:pBdr/>
        <w:tabs>
          <w:tab w:val="clear" w:leader="none" w:pos="720"/>
          <w:tab w:val="left" w:leader="none" w:pos="2201"/>
        </w:tabs>
        <w:spacing w:line="276" w:lineRule="auto"/>
        <w:ind/>
        <w:rPr>
          <w:color w:val="000000" w:themeColor="text1"/>
          <w:sz w:val="24"/>
          <w:szCs w:val="24"/>
        </w:rPr>
      </w:pPr>
      <w:r>
        <w:rPr>
          <w:rFonts w:cs="Arial"/>
          <w:color w:val="000000" w:themeColor="text1"/>
          <w:sz w:val="24"/>
          <w:szCs w:val="24"/>
        </w:rPr>
        <w:t xml:space="preserve">02.002.4.122.2001 – Gestão da Secretaria Municipal de Governo</w:t>
      </w:r>
      <w:r>
        <w:rPr>
          <w:color w:val="000000" w:themeColor="text1"/>
          <w:sz w:val="24"/>
          <w:szCs w:val="24"/>
        </w:rPr>
      </w:r>
    </w:p>
    <w:p>
      <w:pPr>
        <w:pStyle w:val="1056"/>
        <w:pBdr/>
        <w:tabs>
          <w:tab w:val="clear" w:leader="none" w:pos="720"/>
          <w:tab w:val="left" w:leader="none" w:pos="2201"/>
        </w:tabs>
        <w:spacing w:line="276" w:lineRule="auto"/>
        <w:ind/>
        <w:rPr>
          <w:color w:val="000000" w:themeColor="text1"/>
          <w:sz w:val="24"/>
          <w:szCs w:val="24"/>
        </w:rPr>
      </w:pPr>
      <w:r>
        <w:rPr>
          <w:rFonts w:cs="Arial"/>
          <w:color w:val="000000" w:themeColor="text1"/>
          <w:sz w:val="24"/>
          <w:szCs w:val="24"/>
        </w:rPr>
        <w:t xml:space="preserve">3.3.90.30.00.00.1.704.00 – Outros Serviços – Terceira Pessoas Jurídica</w:t>
      </w:r>
      <w:r>
        <w:rPr>
          <w:color w:val="000000" w:themeColor="text1"/>
          <w:sz w:val="24"/>
          <w:szCs w:val="24"/>
        </w:rPr>
      </w:r>
    </w:p>
    <w:p>
      <w:pPr>
        <w:pStyle w:val="1056"/>
        <w:pBdr/>
        <w:tabs>
          <w:tab w:val="clear" w:leader="none" w:pos="720"/>
          <w:tab w:val="left" w:leader="none" w:pos="2201"/>
        </w:tabs>
        <w:spacing w:line="276" w:lineRule="auto"/>
        <w:ind/>
        <w:rPr>
          <w:rFonts w:ascii="Arial" w:hAnsi="Arial" w:cs="Arial"/>
          <w:color w:val="c9211e"/>
          <w:sz w:val="24"/>
          <w:szCs w:val="24"/>
        </w:rPr>
      </w:pPr>
      <w:r>
        <w:rPr>
          <w:rFonts w:cs="Arial"/>
          <w:color w:val="c9211e"/>
          <w:sz w:val="24"/>
          <w:szCs w:val="24"/>
        </w:rPr>
      </w:r>
      <w:r>
        <w:rPr>
          <w:rFonts w:ascii="Arial" w:hAnsi="Arial" w:cs="Arial"/>
          <w:color w:val="c9211e"/>
          <w:sz w:val="24"/>
          <w:szCs w:val="24"/>
        </w:rPr>
      </w:r>
    </w:p>
    <w:p>
      <w:pPr>
        <w:pStyle w:val="1056"/>
        <w:pBdr/>
        <w:tabs>
          <w:tab w:val="left" w:leader="none" w:pos="426"/>
          <w:tab w:val="clear" w:leader="none" w:pos="720"/>
        </w:tabs>
        <w:spacing w:line="360" w:lineRule="auto"/>
        <w:ind/>
        <w:jc w:val="both"/>
        <w:rPr>
          <w:color w:val="000000"/>
          <w:sz w:val="24"/>
          <w:szCs w:val="24"/>
        </w:rPr>
      </w:pPr>
      <w:r>
        <w:rPr>
          <w:rFonts w:cs="Arial"/>
          <w:b/>
          <w:color w:val="000000"/>
          <w:sz w:val="24"/>
          <w:szCs w:val="24"/>
        </w:rPr>
        <w:t xml:space="preserve">13. DISPOSIÇÕES GERAIS</w:t>
      </w:r>
      <w:r>
        <w:rPr>
          <w:color w:val="000000"/>
          <w:sz w:val="24"/>
          <w:szCs w:val="24"/>
        </w:rPr>
      </w:r>
    </w:p>
    <w:p>
      <w:pPr>
        <w:pStyle w:val="1056"/>
        <w:pBdr/>
        <w:tabs>
          <w:tab w:val="left" w:leader="none" w:pos="426"/>
          <w:tab w:val="clear" w:leader="none" w:pos="720"/>
        </w:tabs>
        <w:spacing w:after="171" w:before="171" w:line="360" w:lineRule="auto"/>
        <w:ind/>
        <w:jc w:val="both"/>
        <w:rPr>
          <w:color w:val="000000"/>
          <w:sz w:val="24"/>
          <w:szCs w:val="24"/>
        </w:rPr>
      </w:pPr>
      <w:r>
        <w:rPr>
          <w:rFonts w:cs="Arial"/>
          <w:b/>
          <w:bCs/>
          <w:color w:val="000000"/>
          <w:sz w:val="24"/>
          <w:szCs w:val="24"/>
        </w:rPr>
        <w:t xml:space="preserve">13.1.</w:t>
      </w:r>
      <w:r>
        <w:rPr>
          <w:rFonts w:cs="Arial"/>
          <w:color w:val="000000"/>
          <w:sz w:val="24"/>
          <w:szCs w:val="24"/>
        </w:rPr>
        <w:t xml:space="preserve"> A contratação do objeto deverá ser precedida de análise prévia, fundamentada na Lei Federal nº 14.133/2021 c/c Decreto Federal nº 11.462/2023, Decreto Municipal nº 278/2023.</w:t>
      </w:r>
      <w:r>
        <w:rPr>
          <w:color w:val="000000"/>
          <w:sz w:val="24"/>
          <w:szCs w:val="24"/>
        </w:rPr>
      </w:r>
    </w:p>
    <w:p>
      <w:pPr>
        <w:pStyle w:val="1056"/>
        <w:pBdr/>
        <w:tabs>
          <w:tab w:val="left" w:leader="none" w:pos="426"/>
          <w:tab w:val="clear" w:leader="none" w:pos="720"/>
        </w:tabs>
        <w:spacing w:after="171" w:before="171" w:line="360" w:lineRule="auto"/>
        <w:ind/>
        <w:jc w:val="both"/>
        <w:rPr>
          <w:color w:val="000000"/>
          <w:sz w:val="24"/>
          <w:szCs w:val="24"/>
        </w:rPr>
      </w:pPr>
      <w:r>
        <w:rPr>
          <w:rFonts w:cs="Arial"/>
          <w:b/>
          <w:bCs/>
          <w:color w:val="000000"/>
          <w:sz w:val="24"/>
          <w:szCs w:val="24"/>
        </w:rPr>
        <w:t xml:space="preserve">13.2.</w:t>
      </w:r>
      <w:r>
        <w:rPr>
          <w:rFonts w:cs="Arial"/>
          <w:color w:val="000000"/>
          <w:sz w:val="24"/>
          <w:szCs w:val="24"/>
        </w:rPr>
        <w:t xml:space="preserve"> Ratificam-se os orçamentos.</w:t>
      </w:r>
      <w:r>
        <w:rPr>
          <w:color w:val="000000"/>
          <w:sz w:val="24"/>
          <w:szCs w:val="24"/>
        </w:rPr>
      </w:r>
    </w:p>
    <w:p>
      <w:pPr>
        <w:pStyle w:val="1056"/>
        <w:pBdr/>
        <w:tabs>
          <w:tab w:val="left" w:leader="none" w:pos="426"/>
          <w:tab w:val="clear" w:leader="none" w:pos="720"/>
        </w:tabs>
        <w:spacing w:after="171" w:before="171" w:line="360" w:lineRule="auto"/>
        <w:ind/>
        <w:jc w:val="both"/>
        <w:rPr>
          <w:rFonts w:ascii="Arial" w:hAnsi="Arial" w:eastAsia="Arial" w:cs="Arial"/>
          <w:color w:val="000000"/>
          <w:sz w:val="24"/>
          <w:szCs w:val="24"/>
          <w:highlight w:val="none"/>
          <w14:ligatures w14:val="none"/>
        </w:rPr>
      </w:pPr>
      <w:r>
        <w:rPr>
          <w:rFonts w:eastAsia="Arial" w:cs="Arial"/>
          <w:b/>
          <w:bCs/>
          <w:color w:val="000000"/>
          <w:sz w:val="24"/>
          <w:szCs w:val="24"/>
        </w:rPr>
        <w:t xml:space="preserve">13.3.</w:t>
      </w:r>
      <w:r>
        <w:rPr>
          <w:rFonts w:eastAsia="Arial" w:cs="Arial"/>
          <w:color w:val="000000"/>
          <w:sz w:val="24"/>
          <w:szCs w:val="24"/>
        </w:rPr>
        <w:t xml:space="preserve"> Justifico </w:t>
      </w:r>
      <w:r>
        <w:rPr>
          <w:rFonts w:eastAsia="Arial" w:cs="Arial"/>
          <w:color w:val="000000"/>
          <w:sz w:val="24"/>
          <w:szCs w:val="24"/>
        </w:rPr>
        <w:t xml:space="preserve">que os valores orçados são os praticados no mercado.</w:t>
      </w:r>
      <w:r>
        <w:rPr>
          <w:rFonts w:ascii="Arial" w:hAnsi="Arial" w:eastAsia="Arial" w:cs="Arial"/>
          <w:color w:val="000000"/>
          <w:sz w:val="24"/>
          <w:szCs w:val="24"/>
          <w:highlight w:val="none"/>
          <w14:ligatures w14:val="none"/>
        </w:rPr>
      </w:r>
    </w:p>
    <w:p>
      <w:pPr>
        <w:pStyle w:val="1056"/>
        <w:pBdr/>
        <w:tabs>
          <w:tab w:val="left" w:leader="none" w:pos="426"/>
          <w:tab w:val="clear" w:leader="none" w:pos="720"/>
        </w:tabs>
        <w:spacing w:after="171" w:before="171" w:line="360" w:lineRule="auto"/>
        <w:ind/>
        <w:jc w:val="both"/>
        <w:rPr>
          <w:rFonts w:ascii="Arial" w:hAnsi="Arial" w:eastAsia="Arial" w:cs="Arial"/>
          <w:color w:val="000000"/>
          <w:sz w:val="24"/>
          <w:szCs w:val="24"/>
          <w:highlight w:val="none"/>
          <w14:ligatures w14:val="none"/>
        </w:rPr>
      </w:pPr>
      <w:r>
        <w:rPr>
          <w:rFonts w:eastAsia="Arial" w:cs="Arial"/>
          <w:b/>
          <w:bCs/>
          <w:color w:val="000000"/>
          <w:sz w:val="24"/>
          <w:szCs w:val="24"/>
        </w:rPr>
        <w:t xml:space="preserve">13.4.</w:t>
      </w:r>
      <w:r>
        <w:rPr>
          <w:rFonts w:eastAsia="Arial" w:cs="Arial"/>
          <w:color w:val="000000"/>
          <w:sz w:val="24"/>
          <w:szCs w:val="24"/>
        </w:rPr>
        <w:t xml:space="preserve"> Certifico que o prazo de resposta concedido foi compatível com a complexidade do objeto da licitação</w:t>
      </w:r>
      <w:r>
        <w:rPr>
          <w:rFonts w:eastAsia="Arial" w:cs="Arial"/>
          <w:color w:val="000000"/>
          <w:sz w:val="24"/>
          <w:szCs w:val="24"/>
          <w14:ligatures w14:val="none"/>
        </w:rPr>
        <w:t xml:space="preserve">.</w:t>
      </w:r>
      <w:r>
        <w:rPr>
          <w:rFonts w:ascii="Arial" w:hAnsi="Arial" w:eastAsia="Arial" w:cs="Arial"/>
          <w:color w:val="000000"/>
          <w:sz w:val="24"/>
          <w:szCs w:val="24"/>
          <w:highlight w:val="none"/>
          <w14:ligatures w14:val="none"/>
        </w:rPr>
      </w:r>
    </w:p>
    <w:p>
      <w:pPr>
        <w:pStyle w:val="1056"/>
        <w:pBdr/>
        <w:spacing w:line="360" w:lineRule="auto"/>
        <w:ind w:firstLine="0" w:left="0"/>
        <w:jc w:val="both"/>
        <w:rPr>
          <w:rFonts w:ascii="Arial" w:hAnsi="Arial" w:cs="Arial"/>
          <w:color w:val="000000"/>
          <w:sz w:val="24"/>
          <w:szCs w:val="24"/>
          <w:highlight w:val="none"/>
        </w:rPr>
      </w:pPr>
      <w:r>
        <w:rPr>
          <w:rStyle w:val="1117"/>
          <w:rFonts w:eastAsia="Times New Roman" w:cs="Arial"/>
          <w:b/>
          <w:bCs/>
          <w:color w:val="000000"/>
          <w:sz w:val="24"/>
          <w:szCs w:val="24"/>
          <w:shd w:val="clear" w:color="auto" w:fill="ffffff"/>
          <w:lang w:val="pt-BR" w:eastAsia="pt-BR" w:bidi="ar-SA"/>
        </w:rPr>
        <w:t xml:space="preserve">13.5</w:t>
      </w:r>
      <w:r>
        <w:rPr>
          <w:rStyle w:val="1117"/>
          <w:rFonts w:eastAsia="Times New Roman" w:cs="Arial"/>
          <w:b w:val="0"/>
          <w:bCs w:val="0"/>
          <w:color w:val="000000"/>
          <w:sz w:val="24"/>
          <w:szCs w:val="24"/>
          <w:shd w:val="clear" w:color="auto" w:fill="ffffff"/>
          <w:lang w:val="pt-BR" w:eastAsia="pt-BR" w:bidi="ar-SA"/>
        </w:rPr>
        <w:t xml:space="preserve">. Informamos que a pesquisa de preços foi realizada por meio</w:t>
      </w:r>
      <w:r>
        <w:rPr>
          <w:rStyle w:val="1117"/>
          <w:rFonts w:eastAsia="Times New Roman" w:cs="Arial"/>
          <w:b w:val="0"/>
          <w:bCs w:val="0"/>
          <w:color w:val="000000"/>
          <w:sz w:val="24"/>
          <w:szCs w:val="24"/>
          <w:shd w:val="clear" w:color="auto" w:fill="ffffff"/>
          <w:lang w:val="pt-BR" w:eastAsia="pt-BR" w:bidi="ar-SA"/>
        </w:rPr>
        <w:t xml:space="preserve"> de contatos telefônicos com fornecedores. Por esse motivo, não há comprovação por e-mail, nem registro formal dos fornecedores contatados que não enviaram proposta. As informações obtidas foram devidamente anotadas e consideradas na formação da pesquisa. </w:t>
      </w:r>
      <w:r>
        <w:rPr>
          <w:rFonts w:ascii="Arial" w:hAnsi="Arial" w:cs="Arial"/>
          <w:color w:val="000000"/>
          <w:sz w:val="24"/>
          <w:szCs w:val="24"/>
          <w:highlight w:val="none"/>
        </w:rPr>
      </w:r>
    </w:p>
    <w:p>
      <w:pPr>
        <w:pStyle w:val="1056"/>
        <w:pBdr/>
        <w:tabs>
          <w:tab w:val="left" w:leader="none" w:pos="426"/>
          <w:tab w:val="clear" w:leader="none" w:pos="720"/>
        </w:tabs>
        <w:spacing w:line="360" w:lineRule="auto"/>
        <w:ind/>
        <w:jc w:val="both"/>
        <w:rPr>
          <w:rFonts w:ascii="Arial" w:hAnsi="Arial" w:cs="Arial"/>
          <w:color w:val="000000"/>
          <w:sz w:val="24"/>
          <w:szCs w:val="24"/>
        </w:rPr>
      </w:pPr>
      <w:r>
        <w:rPr>
          <w:rFonts w:cs="Arial"/>
          <w:b/>
          <w:bCs/>
          <w:color w:val="000000"/>
          <w:sz w:val="24"/>
          <w:szCs w:val="24"/>
        </w:rPr>
        <w:t xml:space="preserve">13.6.</w:t>
      </w:r>
      <w:r>
        <w:rPr>
          <w:rFonts w:cs="Arial"/>
          <w:color w:val="000000"/>
          <w:sz w:val="24"/>
          <w:szCs w:val="24"/>
        </w:rPr>
        <w:t xml:space="preserve"> O método de escolha do valor estimado adotado neste Estudo Técnico Preliminar foi a </w:t>
      </w:r>
      <w:r>
        <w:rPr>
          <w:rFonts w:cs="Arial"/>
          <w:b/>
          <w:bCs/>
          <w:color w:val="000000"/>
          <w:sz w:val="24"/>
          <w:szCs w:val="24"/>
        </w:rPr>
        <w:t xml:space="preserve">média</w:t>
      </w:r>
      <w:r>
        <w:rPr>
          <w:rFonts w:cs="Arial"/>
          <w:color w:val="000000"/>
          <w:sz w:val="24"/>
          <w:szCs w:val="24"/>
        </w:rPr>
        <w:t xml:space="preserve"> dos valores orçados, em conformidade com o art. 13, § 1º do Decreto Municipal nº 278/2023. Essa metodologia foi aplicada com base nos or</w:t>
      </w:r>
      <w:r>
        <w:rPr>
          <w:rFonts w:cs="Arial"/>
          <w:color w:val="000000"/>
          <w:sz w:val="24"/>
          <w:szCs w:val="24"/>
        </w:rPr>
        <w:t xml:space="preserve">çamentos coletados junto a empresas especializadas na prestação de serviços de controle de vetores e pragas urbanas, sendo desconsiderados os valores inexequíveis, inconsistentes ou excessivamente elevados, nos termos do art. 13, caput do referido Decreto.</w:t>
      </w:r>
      <w:r>
        <w:rPr>
          <w:rFonts w:ascii="Arial" w:hAnsi="Arial" w:cs="Arial"/>
          <w:color w:val="000000"/>
          <w:sz w:val="24"/>
          <w:szCs w:val="24"/>
        </w:rPr>
      </w:r>
    </w:p>
    <w:p>
      <w:pPr>
        <w:pStyle w:val="1056"/>
        <w:pBdr/>
        <w:tabs>
          <w:tab w:val="left" w:leader="none" w:pos="426"/>
          <w:tab w:val="clear" w:leader="none" w:pos="720"/>
        </w:tabs>
        <w:spacing w:line="360" w:lineRule="auto"/>
        <w:ind/>
        <w:jc w:val="both"/>
        <w:rPr>
          <w:rFonts w:ascii="Arial" w:hAnsi="Arial" w:cs="Arial"/>
          <w:color w:val="000000"/>
          <w:sz w:val="24"/>
          <w:szCs w:val="24"/>
        </w:rPr>
      </w:pPr>
      <w:r>
        <w:rPr>
          <w:rFonts w:cs="Arial"/>
          <w:color w:val="000000"/>
          <w:sz w:val="24"/>
          <w:szCs w:val="24"/>
        </w:rPr>
        <w:tab/>
        <w:tab/>
        <w:t xml:space="preserve">Tal escolha visa assegurar a vantajosidade da contratação, preservando a competitividade entre os</w:t>
      </w:r>
      <w:r>
        <w:rPr>
          <w:rFonts w:cs="Arial"/>
          <w:color w:val="000000"/>
          <w:sz w:val="24"/>
          <w:szCs w:val="24"/>
        </w:rPr>
        <w:t xml:space="preserve"> fornecedores, uma vez que a média considera a realidade do mercado local e os fatores específicos de cada empresa, como estrutura técnica, deslocamento de equipe, insumos empregados, qualificação profissional, logística de atendimento e porte operacional.</w:t>
      </w:r>
      <w:r>
        <w:rPr>
          <w:rFonts w:ascii="Arial" w:hAnsi="Arial" w:cs="Arial"/>
          <w:color w:val="000000"/>
          <w:sz w:val="24"/>
          <w:szCs w:val="24"/>
        </w:rPr>
      </w:r>
    </w:p>
    <w:p>
      <w:pPr>
        <w:pStyle w:val="1056"/>
        <w:pBdr/>
        <w:tabs>
          <w:tab w:val="left" w:leader="none" w:pos="426"/>
          <w:tab w:val="clear" w:leader="none" w:pos="720"/>
        </w:tabs>
        <w:spacing w:line="360" w:lineRule="auto"/>
        <w:ind/>
        <w:jc w:val="both"/>
        <w:rPr>
          <w:rFonts w:ascii="Arial" w:hAnsi="Arial" w:cs="Arial"/>
          <w:color w:val="000000"/>
          <w:sz w:val="24"/>
          <w:szCs w:val="24"/>
        </w:rPr>
      </w:pPr>
      <w:r>
        <w:rPr>
          <w:rFonts w:cs="Arial"/>
          <w:color w:val="000000"/>
          <w:sz w:val="24"/>
          <w:szCs w:val="24"/>
        </w:rPr>
        <w:tab/>
        <w:tab/>
        <w:t xml:space="preserve">Essa abordagem também evita distorções decorrentes de preços isoladamente baixos ou altos, oferecendo um parâmetro equilibrado, realista e transparente para a definição do valor estimado da contratação, garantindo a adequação à realidade municipal.</w:t>
      </w:r>
      <w:r>
        <w:rPr>
          <w:rFonts w:ascii="Arial" w:hAnsi="Arial" w:cs="Arial"/>
          <w:color w:val="000000"/>
          <w:sz w:val="24"/>
          <w:szCs w:val="24"/>
        </w:rPr>
      </w:r>
    </w:p>
    <w:p>
      <w:pPr>
        <w:pStyle w:val="1056"/>
        <w:pBdr/>
        <w:tabs>
          <w:tab w:val="left" w:leader="none" w:pos="426"/>
          <w:tab w:val="clear" w:leader="none" w:pos="720"/>
        </w:tabs>
        <w:spacing w:line="360" w:lineRule="auto"/>
        <w:ind/>
        <w:jc w:val="both"/>
        <w:rPr>
          <w:rFonts w:ascii="Arial" w:hAnsi="Arial" w:cs="Arial"/>
          <w:color w:val="000000"/>
          <w:sz w:val="24"/>
          <w:szCs w:val="24"/>
        </w:rPr>
      </w:pPr>
      <w:r>
        <w:rPr>
          <w:rFonts w:cs="Arial"/>
          <w:color w:val="000000"/>
          <w:sz w:val="24"/>
          <w:szCs w:val="24"/>
        </w:rPr>
        <w:tab/>
        <w:tab/>
        <w:t xml:space="preserve">Além disso, não foi adotado como parâmetro exclusivo de precificação os valores disponíveis em bases públicas como o Painel de Preços do Governo Federal ou Base Nacional de Notas Fiscais Eletrônicas, em virtude de:</w:t>
      </w:r>
      <w:r>
        <w:rPr>
          <w:rFonts w:ascii="Arial" w:hAnsi="Arial" w:cs="Arial"/>
          <w:color w:val="000000"/>
          <w:sz w:val="24"/>
          <w:szCs w:val="24"/>
        </w:rPr>
      </w:r>
    </w:p>
    <w:p>
      <w:pPr>
        <w:pStyle w:val="1056"/>
        <w:pBdr/>
        <w:tabs>
          <w:tab w:val="left" w:leader="none" w:pos="426"/>
          <w:tab w:val="clear" w:leader="none" w:pos="720"/>
        </w:tabs>
        <w:spacing w:line="360" w:lineRule="auto"/>
        <w:ind/>
        <w:jc w:val="both"/>
        <w:rPr>
          <w:rFonts w:ascii="Arial" w:hAnsi="Arial" w:cs="Arial"/>
          <w:color w:val="000000"/>
          <w:sz w:val="24"/>
          <w:szCs w:val="24"/>
        </w:rPr>
      </w:pPr>
      <w:r>
        <w:rPr>
          <w:rFonts w:cs="Arial"/>
          <w:color w:val="000000"/>
          <w:sz w:val="24"/>
          <w:szCs w:val="24"/>
        </w:rPr>
        <w:t xml:space="preserve">Ausência de registros de contratações com objeto idêntico (serviços de dedetização e controle de vetores) no Município de Rio das Flores ou em regiões com características técnicas e geográficas semelhantes;</w:t>
      </w:r>
      <w:r>
        <w:rPr>
          <w:rFonts w:ascii="Arial" w:hAnsi="Arial" w:cs="Arial"/>
          <w:color w:val="000000"/>
          <w:sz w:val="24"/>
          <w:szCs w:val="24"/>
        </w:rPr>
      </w:r>
    </w:p>
    <w:p>
      <w:pPr>
        <w:pStyle w:val="1056"/>
        <w:pBdr/>
        <w:tabs>
          <w:tab w:val="left" w:leader="none" w:pos="426"/>
          <w:tab w:val="clear" w:leader="none" w:pos="720"/>
        </w:tabs>
        <w:spacing w:line="360" w:lineRule="auto"/>
        <w:ind/>
        <w:jc w:val="both"/>
        <w:rPr>
          <w:rFonts w:ascii="Arial" w:hAnsi="Arial" w:cs="Arial"/>
          <w:color w:val="000000"/>
          <w:sz w:val="24"/>
          <w:szCs w:val="24"/>
        </w:rPr>
      </w:pPr>
      <w:r>
        <w:rPr>
          <w:rFonts w:cs="Arial"/>
          <w:color w:val="000000"/>
          <w:sz w:val="24"/>
          <w:szCs w:val="24"/>
        </w:rPr>
        <w:t xml:space="preserve">Inexistência, nos últimos 06 (seis) meses, de contratos formalizados ou licitações finalizadas que pudessem refletir, de forma fiel, o custo atual para a execução dos serviços no contexto local, conforme previsto no art. 23, § 1º da Lei nº 14.133/2021;</w:t>
      </w:r>
      <w:r>
        <w:rPr>
          <w:rFonts w:ascii="Arial" w:hAnsi="Arial" w:cs="Arial"/>
          <w:color w:val="000000"/>
          <w:sz w:val="24"/>
          <w:szCs w:val="24"/>
        </w:rPr>
      </w:r>
    </w:p>
    <w:p>
      <w:pPr>
        <w:pStyle w:val="1056"/>
        <w:pBdr/>
        <w:tabs>
          <w:tab w:val="left" w:leader="none" w:pos="426"/>
          <w:tab w:val="clear" w:leader="none" w:pos="720"/>
        </w:tabs>
        <w:spacing w:line="360" w:lineRule="auto"/>
        <w:ind/>
        <w:jc w:val="both"/>
        <w:rPr>
          <w:rFonts w:ascii="Arial" w:hAnsi="Arial" w:cs="Arial"/>
          <w:color w:val="000000"/>
          <w:sz w:val="24"/>
          <w:szCs w:val="24"/>
        </w:rPr>
      </w:pPr>
      <w:r>
        <w:rPr>
          <w:rFonts w:cs="Arial"/>
          <w:color w:val="000000"/>
          <w:sz w:val="24"/>
          <w:szCs w:val="24"/>
        </w:rPr>
        <w:tab/>
        <w:tab/>
        <w:t xml:space="preserve">Variações significativas nos valores registrados em sítios eletrônicos especializados, dificultando a padronização e aplicação confiável desses dados como base de cálculo;</w:t>
      </w:r>
      <w:r>
        <w:rPr>
          <w:rFonts w:ascii="Arial" w:hAnsi="Arial" w:cs="Arial"/>
          <w:color w:val="000000"/>
          <w:sz w:val="24"/>
          <w:szCs w:val="24"/>
        </w:rPr>
      </w:r>
    </w:p>
    <w:p>
      <w:pPr>
        <w:pStyle w:val="1056"/>
        <w:pBdr/>
        <w:tabs>
          <w:tab w:val="left" w:leader="none" w:pos="426"/>
          <w:tab w:val="clear" w:leader="none" w:pos="720"/>
        </w:tabs>
        <w:spacing w:line="360" w:lineRule="auto"/>
        <w:ind/>
        <w:jc w:val="both"/>
        <w:rPr>
          <w:rFonts w:ascii="Arial" w:hAnsi="Arial" w:cs="Arial"/>
          <w:color w:val="000000"/>
          <w:sz w:val="24"/>
          <w:szCs w:val="24"/>
        </w:rPr>
      </w:pPr>
      <w:r>
        <w:rPr>
          <w:rFonts w:cs="Arial"/>
          <w:color w:val="000000"/>
          <w:sz w:val="24"/>
          <w:szCs w:val="24"/>
        </w:rPr>
        <w:tab/>
        <w:tab/>
        <w:t xml:space="preserve">Custos operacionais e logísticos diferenciados para atendimento em áreas urbanas e rurais do município, exigindo deslocamento técnico e uso de materiais controlados por órgãos como ANVISA, IBAMA e INEA.</w:t>
      </w:r>
      <w:r>
        <w:rPr>
          <w:rFonts w:ascii="Arial" w:hAnsi="Arial" w:cs="Arial"/>
          <w:color w:val="000000"/>
          <w:sz w:val="24"/>
          <w:szCs w:val="24"/>
        </w:rPr>
      </w:r>
    </w:p>
    <w:p>
      <w:pPr>
        <w:pStyle w:val="1056"/>
        <w:pBdr/>
        <w:tabs>
          <w:tab w:val="left" w:leader="none" w:pos="426"/>
          <w:tab w:val="clear" w:leader="none" w:pos="720"/>
        </w:tabs>
        <w:spacing w:line="360" w:lineRule="auto"/>
        <w:ind/>
        <w:jc w:val="both"/>
        <w:rPr>
          <w:rFonts w:ascii="Arial" w:hAnsi="Arial" w:cs="Arial"/>
          <w:color w:val="000000"/>
          <w:sz w:val="24"/>
          <w:szCs w:val="24"/>
        </w:rPr>
      </w:pPr>
      <w:r>
        <w:rPr>
          <w:rFonts w:cs="Arial"/>
          <w:color w:val="000000"/>
          <w:sz w:val="24"/>
          <w:szCs w:val="24"/>
        </w:rPr>
        <w:tab/>
        <w:tab/>
        <w:t xml:space="preserve">Ressalta-se que foi realizada consulta à Bas</w:t>
      </w:r>
      <w:r>
        <w:rPr>
          <w:rFonts w:cs="Arial"/>
          <w:color w:val="000000"/>
          <w:sz w:val="24"/>
          <w:szCs w:val="24"/>
        </w:rPr>
        <w:t xml:space="preserve">e Nacional de Notas Fiscais Eletrônicas, conforme previsão legal, mas não foram identificadas contratações similares com compatibilidade técnica, quantitativa e regional, inviabilizando sua adoção como parâmetro confiável para composição do preço estimado.</w:t>
      </w:r>
      <w:r>
        <w:rPr>
          <w:rFonts w:ascii="Arial" w:hAnsi="Arial" w:cs="Arial"/>
          <w:color w:val="000000"/>
          <w:sz w:val="24"/>
          <w:szCs w:val="24"/>
        </w:rPr>
      </w:r>
    </w:p>
    <w:p>
      <w:pPr>
        <w:pStyle w:val="1056"/>
        <w:pBdr/>
        <w:tabs>
          <w:tab w:val="left" w:leader="none" w:pos="426"/>
          <w:tab w:val="clear" w:leader="none" w:pos="720"/>
        </w:tabs>
        <w:spacing w:line="360" w:lineRule="auto"/>
        <w:ind/>
        <w:jc w:val="both"/>
        <w:rPr>
          <w:rFonts w:ascii="Arial" w:hAnsi="Arial" w:cs="Arial"/>
          <w:color w:val="000000"/>
          <w:sz w:val="24"/>
          <w:szCs w:val="24"/>
        </w:rPr>
      </w:pPr>
      <w:r>
        <w:rPr>
          <w:rFonts w:cs="Arial"/>
          <w:color w:val="000000"/>
          <w:sz w:val="24"/>
          <w:szCs w:val="24"/>
        </w:rPr>
        <w:tab/>
        <w:tab/>
        <w:t xml:space="preserve">Diante disso, os cinco orçamentos obtidos junto a empresas especializadas locais e regionais constituíram a base mais segura</w:t>
      </w:r>
      <w:r>
        <w:rPr>
          <w:rFonts w:cs="Arial"/>
          <w:color w:val="000000"/>
          <w:sz w:val="24"/>
          <w:szCs w:val="24"/>
        </w:rPr>
        <w:t xml:space="preserve"> e aderente à realidade do mercado para a formação do preço estimado da contratação. Os valores foram tratados com base nos princípios da razoabilidade, economicidade e legalidade, observando os requisitos técnicos mínimos exigidos para execução do objeto.</w:t>
      </w:r>
      <w:r>
        <w:rPr>
          <w:rFonts w:ascii="Arial" w:hAnsi="Arial" w:cs="Arial"/>
          <w:color w:val="000000"/>
          <w:sz w:val="24"/>
          <w:szCs w:val="24"/>
        </w:rPr>
      </w:r>
    </w:p>
    <w:p>
      <w:pPr>
        <w:pStyle w:val="1056"/>
        <w:pBdr/>
        <w:tabs>
          <w:tab w:val="left" w:leader="none" w:pos="426"/>
          <w:tab w:val="clear" w:leader="none" w:pos="720"/>
        </w:tabs>
        <w:spacing w:after="171" w:before="171" w:line="360" w:lineRule="auto"/>
        <w:ind/>
        <w:jc w:val="both"/>
        <w:rPr>
          <w:rFonts w:cs="Arial"/>
          <w:sz w:val="24"/>
          <w:szCs w:val="24"/>
        </w:rPr>
      </w:pPr>
      <w:r>
        <w:rPr>
          <w:rFonts w:cs="Arial"/>
          <w:b/>
          <w:bCs/>
          <w:color w:val="000000"/>
          <w:sz w:val="24"/>
          <w:szCs w:val="24"/>
        </w:rPr>
        <w:t xml:space="preserve">13.5. </w:t>
      </w:r>
      <w:r>
        <w:rPr>
          <w:rFonts w:cs="Arial"/>
          <w:color w:val="000000"/>
          <w:sz w:val="24"/>
          <w:szCs w:val="24"/>
        </w:rPr>
        <w:t xml:space="preserve">Autorizo a realização da presente contratação. </w:t>
      </w:r>
      <w:r>
        <w:rPr>
          <w:rFonts w:cs="Arial"/>
          <w:color w:val="c9211e"/>
          <w:sz w:val="24"/>
          <w:szCs w:val="24"/>
        </w:rPr>
        <w:t xml:space="preserve">     </w:t>
      </w:r>
      <w:r>
        <w:rPr>
          <w:rFonts w:cs="Arial"/>
          <w:sz w:val="24"/>
          <w:szCs w:val="24"/>
        </w:rPr>
        <w:t xml:space="preserve">                  </w:t>
      </w:r>
      <w:r>
        <w:rPr>
          <w:color w:val="000000"/>
          <w:sz w:val="24"/>
          <w:szCs w:val="24"/>
        </w:rPr>
      </w:r>
    </w:p>
    <w:p>
      <w:pPr>
        <w:pStyle w:val="1056"/>
        <w:pBdr/>
        <w:tabs>
          <w:tab w:val="left" w:leader="none" w:pos="426"/>
          <w:tab w:val="clear" w:leader="none" w:pos="720"/>
        </w:tabs>
        <w:spacing w:after="171" w:before="171" w:line="360" w:lineRule="auto"/>
        <w:ind/>
        <w:jc w:val="both"/>
        <w:rPr>
          <w:color w:val="000000"/>
          <w:sz w:val="24"/>
          <w:szCs w:val="24"/>
        </w:rPr>
      </w:pPr>
      <w:r>
        <w:rPr>
          <w:rFonts w:cs="Arial"/>
          <w:sz w:val="24"/>
          <w:szCs w:val="24"/>
        </w:rPr>
        <w:t xml:space="preserve">                                                     </w:t>
      </w:r>
      <w:r>
        <w:rPr>
          <w:color w:val="000000"/>
          <w:sz w:val="24"/>
          <w:szCs w:val="24"/>
        </w:rPr>
      </w:r>
      <w:r/>
    </w:p>
    <w:p>
      <w:pPr>
        <w:pStyle w:val="1056"/>
        <w:pBdr/>
        <w:spacing w:line="360" w:lineRule="auto"/>
        <w:ind/>
        <w:jc w:val="center"/>
        <w:rPr>
          <w:rFonts w:ascii="Arial" w:hAnsi="Arial" w:cs="Arial"/>
          <w:color w:val="000000"/>
          <w:sz w:val="24"/>
          <w:szCs w:val="24"/>
        </w:rPr>
      </w:pPr>
      <w:r>
        <w:rPr>
          <w:rFonts w:cs="Arial"/>
          <w:sz w:val="24"/>
          <w:szCs w:val="24"/>
        </w:rPr>
        <w:t xml:space="preserve">                                                        </w:t>
      </w:r>
      <w:r>
        <w:rPr>
          <w:rFonts w:cs="Arial"/>
          <w:color w:val="c9211e"/>
          <w:sz w:val="24"/>
          <w:szCs w:val="24"/>
        </w:rPr>
        <w:t xml:space="preserve"> </w:t>
      </w:r>
      <w:r>
        <w:rPr>
          <w:rFonts w:cs="Arial"/>
          <w:color w:val="000000"/>
          <w:sz w:val="24"/>
          <w:szCs w:val="24"/>
        </w:rPr>
        <w:t xml:space="preserve"> </w:t>
      </w:r>
      <w:r>
        <w:rPr>
          <w:rFonts w:cs="Arial"/>
          <w:color w:val="000000"/>
          <w:sz w:val="24"/>
          <w:szCs w:val="24"/>
        </w:rPr>
        <w:t xml:space="preserve">Rio das Flôres, 30</w:t>
      </w:r>
      <w:bookmarkStart w:id="80" w:name="_GoBack"/>
      <w:r/>
      <w:bookmarkEnd w:id="80"/>
      <w:r>
        <w:rPr>
          <w:rFonts w:cs="Arial"/>
          <w:color w:val="000000"/>
          <w:sz w:val="24"/>
          <w:szCs w:val="24"/>
        </w:rPr>
        <w:t xml:space="preserve"> de setembro de 2025.</w:t>
      </w:r>
      <w:r>
        <w:rPr>
          <w:rFonts w:ascii="Arial" w:hAnsi="Arial" w:cs="Arial"/>
          <w:color w:val="000000"/>
          <w:sz w:val="24"/>
          <w:szCs w:val="24"/>
        </w:rPr>
      </w:r>
    </w:p>
    <w:p>
      <w:pPr>
        <w:pStyle w:val="1056"/>
        <w:pBdr/>
        <w:spacing w:line="360" w:lineRule="auto"/>
        <w:ind/>
        <w:jc w:val="center"/>
        <w:rPr>
          <w:rFonts w:ascii="Arial" w:hAnsi="Arial" w:cs="Arial"/>
          <w:sz w:val="24"/>
          <w:szCs w:val="24"/>
        </w:rPr>
      </w:pPr>
      <w:r>
        <w:rPr>
          <w:rFonts w:cs="Arial"/>
          <w:sz w:val="24"/>
          <w:szCs w:val="24"/>
        </w:rPr>
      </w:r>
      <w:r>
        <w:rPr>
          <w:rFonts w:ascii="Arial" w:hAnsi="Arial" w:cs="Arial"/>
          <w:sz w:val="24"/>
          <w:szCs w:val="24"/>
        </w:rPr>
      </w:r>
    </w:p>
    <w:p>
      <w:pPr>
        <w:pStyle w:val="1056"/>
        <w:pBdr/>
        <w:spacing/>
        <w:ind/>
        <w:jc w:val="center"/>
        <w:rPr>
          <w:rFonts w:ascii="Arial" w:hAnsi="Arial" w:cs="Arial"/>
          <w:b/>
          <w:bCs/>
          <w:sz w:val="24"/>
          <w:szCs w:val="24"/>
        </w:rPr>
      </w:pPr>
      <w:r>
        <w:rPr>
          <w:rFonts w:cs="Arial"/>
          <w:b/>
          <w:sz w:val="24"/>
          <w:szCs w:val="24"/>
        </w:rPr>
        <w:t xml:space="preserve">Mário Vasconcellos Fernandes</w:t>
      </w:r>
      <w:r>
        <w:rPr>
          <w:rFonts w:ascii="Arial" w:hAnsi="Arial" w:cs="Arial"/>
          <w:b/>
          <w:bCs/>
          <w:sz w:val="24"/>
          <w:szCs w:val="24"/>
        </w:rPr>
      </w:r>
    </w:p>
    <w:p>
      <w:pPr>
        <w:pStyle w:val="1056"/>
        <w:pBdr/>
        <w:spacing/>
        <w:ind/>
        <w:jc w:val="center"/>
        <w:rPr>
          <w:rFonts w:ascii="Arial" w:hAnsi="Arial" w:cs="Arial"/>
          <w:b/>
          <w:bCs/>
          <w:sz w:val="24"/>
          <w:szCs w:val="24"/>
        </w:rPr>
      </w:pPr>
      <w:r>
        <w:rPr>
          <w:rFonts w:cs="Arial"/>
          <w:b/>
          <w:sz w:val="24"/>
          <w:szCs w:val="24"/>
        </w:rPr>
        <w:t xml:space="preserve">Secretário Municipal de Governo</w:t>
      </w:r>
      <w:r>
        <w:rPr>
          <w:rFonts w:ascii="Arial" w:hAnsi="Arial" w:cs="Arial"/>
          <w:b/>
          <w:bCs/>
          <w:sz w:val="24"/>
          <w:szCs w:val="24"/>
        </w:rPr>
      </w:r>
    </w:p>
    <w:p>
      <w:pPr>
        <w:pStyle w:val="1056"/>
        <w:pBdr/>
        <w:spacing/>
        <w:ind/>
        <w:jc w:val="center"/>
        <w:rPr>
          <w:rFonts w:ascii="Arial" w:hAnsi="Arial" w:cs="Arial"/>
          <w:b/>
        </w:rPr>
      </w:pPr>
      <w:r>
        <w:rPr>
          <w:rFonts w:cs="Arial"/>
          <w:b/>
        </w:rPr>
      </w:r>
      <w:r>
        <w:rPr>
          <w:rFonts w:ascii="Arial" w:hAnsi="Arial" w:cs="Arial"/>
          <w:b/>
        </w:rPr>
      </w:r>
    </w:p>
    <w:p>
      <w:pPr>
        <w:pStyle w:val="1056"/>
        <w:pBdr/>
        <w:spacing/>
        <w:ind/>
        <w:jc w:val="center"/>
        <w:rPr>
          <w:rFonts w:ascii="Arial" w:hAnsi="Arial" w:cs="Arial"/>
          <w:b/>
          <w:bCs/>
        </w:rPr>
      </w:pPr>
      <w:r>
        <w:rPr>
          <w:rFonts w:cs="Arial"/>
          <w:b/>
          <w:bCs/>
        </w:rPr>
      </w:r>
      <w:r>
        <w:rPr>
          <w:rFonts w:ascii="Arial" w:hAnsi="Arial" w:cs="Arial"/>
          <w:b/>
          <w:bCs/>
        </w:rPr>
      </w:r>
    </w:p>
    <w:p>
      <w:pPr>
        <w:pStyle w:val="1056"/>
        <w:pBdr/>
        <w:spacing/>
        <w:ind/>
        <w:jc w:val="center"/>
        <w:rPr>
          <w:rFonts w:ascii="Arial" w:hAnsi="Arial" w:cs="Arial"/>
          <w:b/>
          <w:bCs/>
        </w:rPr>
      </w:pPr>
      <w:r>
        <w:rPr>
          <w:rFonts w:cs="Arial"/>
          <w:b/>
          <w:bCs/>
        </w:rPr>
      </w:r>
      <w:r>
        <w:rPr>
          <w:rFonts w:ascii="Arial" w:hAnsi="Arial" w:cs="Arial"/>
          <w:b/>
          <w:bCs/>
        </w:rPr>
      </w:r>
    </w:p>
    <w:p>
      <w:pPr>
        <w:pStyle w:val="1056"/>
        <w:pBdr/>
        <w:spacing/>
        <w:ind/>
        <w:jc w:val="center"/>
        <w:rPr>
          <w:rFonts w:ascii="Arial" w:hAnsi="Arial" w:cs="Arial"/>
          <w:b/>
          <w:bCs/>
        </w:rPr>
      </w:pPr>
      <w:r>
        <w:rPr>
          <w:rFonts w:cs="Arial"/>
          <w:b/>
          <w:bCs/>
        </w:rPr>
      </w:r>
      <w:r>
        <w:rPr>
          <w:rFonts w:ascii="Arial" w:hAnsi="Arial" w:cs="Arial"/>
          <w:b/>
          <w:bCs/>
        </w:rPr>
      </w:r>
    </w:p>
    <w:p>
      <w:pPr>
        <w:pStyle w:val="1056"/>
        <w:pBdr/>
        <w:spacing/>
        <w:ind/>
        <w:jc w:val="center"/>
        <w:rPr>
          <w:b/>
          <w:sz w:val="24"/>
          <w:szCs w:val="24"/>
        </w:rPr>
      </w:pPr>
      <w:r>
        <w:rPr>
          <w:b/>
          <w:sz w:val="24"/>
          <w:szCs w:val="24"/>
        </w:rPr>
        <w:t xml:space="preserve">ANEXO II – PROPOSTA MODELO</w:t>
      </w:r>
      <w:r>
        <w:rPr>
          <w:b/>
          <w:sz w:val="24"/>
          <w:szCs w:val="24"/>
        </w:rPr>
      </w:r>
    </w:p>
    <w:p>
      <w:pPr>
        <w:pStyle w:val="1056"/>
        <w:pBdr/>
        <w:spacing/>
        <w:ind/>
        <w:jc w:val="center"/>
        <w:rPr>
          <w:b/>
        </w:rPr>
      </w:pPr>
      <w:r>
        <w:rPr>
          <w:b/>
        </w:rPr>
      </w:r>
      <w:r>
        <w:rPr>
          <w:b/>
        </w:rPr>
      </w:r>
    </w:p>
    <w:p>
      <w:pPr>
        <w:pStyle w:val="1056"/>
        <w:pBdr/>
        <w:spacing w:after="0" w:before="0"/>
        <w:ind/>
        <w:rPr>
          <w:b/>
          <w:sz w:val="24"/>
          <w:szCs w:val="24"/>
        </w:rPr>
      </w:pPr>
      <w:r>
        <w:rPr>
          <w:b/>
          <w:sz w:val="24"/>
          <w:szCs w:val="24"/>
        </w:rPr>
        <w:t xml:space="preserve">Processo Administrativo nº 7109/2025.</w:t>
      </w:r>
      <w:r>
        <w:rPr>
          <w:b/>
          <w:sz w:val="24"/>
          <w:szCs w:val="24"/>
        </w:rPr>
      </w:r>
    </w:p>
    <w:p>
      <w:pPr>
        <w:pStyle w:val="1056"/>
        <w:pBdr/>
        <w:spacing w:after="0" w:before="0"/>
        <w:ind/>
        <w:rPr>
          <w:sz w:val="24"/>
          <w:szCs w:val="24"/>
        </w:rPr>
      </w:pPr>
      <w:r>
        <w:rPr>
          <w:b/>
          <w:sz w:val="24"/>
          <w:szCs w:val="24"/>
        </w:rPr>
        <w:t xml:space="preserve">Pregão Eletrônico nº 020/2025.</w:t>
      </w:r>
      <w:r>
        <w:rPr>
          <w:sz w:val="24"/>
          <w:szCs w:val="24"/>
        </w:rPr>
      </w:r>
    </w:p>
    <w:p>
      <w:pPr>
        <w:pStyle w:val="1056"/>
        <w:pBdr/>
        <w:spacing w:after="0" w:before="0"/>
        <w:ind/>
        <w:rPr>
          <w:b/>
          <w:sz w:val="24"/>
          <w:szCs w:val="24"/>
        </w:rPr>
      </w:pPr>
      <w:r>
        <w:rPr>
          <w:sz w:val="24"/>
          <w:szCs w:val="24"/>
        </w:rPr>
        <w:t xml:space="preserve">Rua Cel. Eurico de Castro, nº 14 – Centro, Rio das Flôres – RJ.</w:t>
      </w:r>
      <w:r>
        <w:rPr>
          <w:b/>
          <w:sz w:val="24"/>
          <w:szCs w:val="24"/>
        </w:rPr>
      </w:r>
    </w:p>
    <w:p>
      <w:pPr>
        <w:pStyle w:val="1056"/>
        <w:pBdr/>
        <w:spacing w:after="0" w:before="0"/>
        <w:ind/>
        <w:rPr>
          <w:b/>
          <w:sz w:val="24"/>
          <w:szCs w:val="24"/>
        </w:rPr>
      </w:pPr>
      <w:r>
        <w:rPr>
          <w:b/>
          <w:sz w:val="24"/>
          <w:szCs w:val="24"/>
        </w:rPr>
      </w:r>
      <w:r>
        <w:rPr>
          <w:b/>
          <w:sz w:val="24"/>
          <w:szCs w:val="24"/>
        </w:rPr>
      </w:r>
    </w:p>
    <w:tbl>
      <w:tblPr>
        <w:tblStyle w:val="1380"/>
        <w:tblInd w:w="-93" w:type="dxa"/>
        <w:tblW w:w="9554" w:type="dxa"/>
        <w:tblCellMar>
          <w:left w:w="15" w:type="dxa"/>
          <w:top w:w="15" w:type="dxa"/>
          <w:right w:w="15" w:type="dxa"/>
          <w:bottom w:w="15" w:type="dxa"/>
        </w:tblCellMar>
        <w:tblBorders/>
        <w:tblLayout w:type="fixed"/>
        <w:tblLook w:val="04A0" w:firstRow="1" w:lastRow="0" w:firstColumn="1" w:lastColumn="0" w:noHBand="0" w:noVBand="1"/>
      </w:tblPr>
      <w:tblGrid>
        <w:gridCol w:w="473"/>
        <w:gridCol w:w="2692"/>
        <w:gridCol w:w="1129"/>
        <w:gridCol w:w="820"/>
        <w:gridCol w:w="2012"/>
        <w:gridCol w:w="2428"/>
      </w:tblGrid>
      <w:tr>
        <w:trPr/>
        <w:tc>
          <w:tcPr>
            <w:shd w:val="clear" w:color="ffffff" w:fill="ffffff"/>
            <w:tcBorders>
              <w:top w:val="single" w:color="000000" w:sz="12" w:space="0"/>
              <w:left w:val="single" w:color="000000" w:sz="12" w:space="0"/>
              <w:bottom w:val="single" w:color="000000" w:sz="12" w:space="0"/>
              <w:right w:val="single" w:color="000000" w:sz="12" w:space="0"/>
            </w:tcBorders>
            <w:tcW w:w="473" w:type="dxa"/>
            <w:textDirection w:val="lrTb"/>
            <w:noWrap w:val="false"/>
          </w:tcPr>
          <w:p>
            <w:pPr>
              <w:pStyle w:val="1056"/>
              <w:pBdr/>
              <w:spacing w:after="0" w:before="0" w:line="240" w:lineRule="auto"/>
              <w:ind/>
              <w:jc w:val="center"/>
              <w:rPr>
                <w:sz w:val="20"/>
                <w:szCs w:val="20"/>
              </w:rPr>
            </w:pPr>
            <w:r>
              <w:rPr>
                <w:rFonts w:eastAsia="Arial" w:cs="Arial"/>
                <w:b/>
                <w:color w:val="000000"/>
                <w:sz w:val="20"/>
                <w:szCs w:val="20"/>
              </w:rPr>
              <w:t xml:space="preserve">N. Item</w:t>
            </w:r>
            <w:r>
              <w:rPr>
                <w:sz w:val="20"/>
                <w:szCs w:val="20"/>
              </w:rPr>
            </w:r>
          </w:p>
        </w:tc>
        <w:tc>
          <w:tcPr>
            <w:shd w:val="clear" w:color="ffffff" w:fill="ffffff"/>
            <w:tcBorders>
              <w:top w:val="single" w:color="000000" w:sz="12" w:space="0"/>
              <w:left w:val="single" w:color="000000" w:sz="12" w:space="0"/>
              <w:bottom w:val="single" w:color="000000" w:sz="12" w:space="0"/>
              <w:right w:val="single" w:color="000000" w:sz="12" w:space="0"/>
            </w:tcBorders>
            <w:tcW w:w="2692" w:type="dxa"/>
            <w:textDirection w:val="lrTb"/>
            <w:noWrap w:val="false"/>
          </w:tcPr>
          <w:p>
            <w:pPr>
              <w:pStyle w:val="1056"/>
              <w:pBdr/>
              <w:spacing w:after="0" w:before="0" w:line="240" w:lineRule="auto"/>
              <w:ind/>
              <w:rPr>
                <w:sz w:val="20"/>
                <w:szCs w:val="20"/>
              </w:rPr>
            </w:pPr>
            <w:r>
              <w:rPr>
                <w:rFonts w:eastAsia="Arial" w:cs="Arial"/>
                <w:b/>
                <w:color w:val="000000"/>
                <w:sz w:val="20"/>
                <w:szCs w:val="20"/>
              </w:rPr>
              <w:t xml:space="preserve">Descrição do Material</w:t>
            </w:r>
            <w:r>
              <w:rPr>
                <w:sz w:val="20"/>
                <w:szCs w:val="20"/>
              </w:rPr>
            </w:r>
          </w:p>
        </w:tc>
        <w:tc>
          <w:tcPr>
            <w:shd w:val="clear" w:color="ffffff" w:fill="ffffff"/>
            <w:tcBorders>
              <w:top w:val="single" w:color="000000" w:sz="12" w:space="0"/>
              <w:left w:val="single" w:color="000000" w:sz="12" w:space="0"/>
              <w:bottom w:val="single" w:color="000000" w:sz="12" w:space="0"/>
              <w:right w:val="single" w:color="000000" w:sz="12" w:space="0"/>
            </w:tcBorders>
            <w:tcW w:w="1129" w:type="dxa"/>
            <w:textDirection w:val="lrTb"/>
            <w:noWrap w:val="false"/>
          </w:tcPr>
          <w:p>
            <w:pPr>
              <w:pStyle w:val="1056"/>
              <w:pBdr/>
              <w:spacing w:after="0" w:before="0" w:line="240" w:lineRule="auto"/>
              <w:ind/>
              <w:rPr>
                <w:sz w:val="20"/>
                <w:szCs w:val="20"/>
              </w:rPr>
            </w:pPr>
            <w:r>
              <w:rPr>
                <w:rFonts w:eastAsia="Arial" w:cs="Arial"/>
                <w:b/>
                <w:color w:val="000000"/>
                <w:sz w:val="20"/>
                <w:szCs w:val="20"/>
              </w:rPr>
              <w:t xml:space="preserve">Quantidade</w:t>
            </w:r>
            <w:r>
              <w:rPr>
                <w:sz w:val="20"/>
                <w:szCs w:val="20"/>
              </w:rPr>
            </w:r>
          </w:p>
        </w:tc>
        <w:tc>
          <w:tcPr>
            <w:shd w:val="clear" w:color="ffffff" w:fill="ffffff"/>
            <w:tcBorders>
              <w:top w:val="single" w:color="000000" w:sz="12" w:space="0"/>
              <w:left w:val="single" w:color="000000" w:sz="12" w:space="0"/>
              <w:bottom w:val="single" w:color="000000" w:sz="12" w:space="0"/>
              <w:right w:val="single" w:color="000000" w:sz="12" w:space="0"/>
            </w:tcBorders>
            <w:tcW w:w="820" w:type="dxa"/>
            <w:textDirection w:val="lrTb"/>
            <w:noWrap w:val="false"/>
          </w:tcPr>
          <w:p>
            <w:pPr>
              <w:pStyle w:val="1056"/>
              <w:pBdr/>
              <w:spacing w:after="0" w:before="0" w:line="240" w:lineRule="auto"/>
              <w:ind/>
              <w:jc w:val="center"/>
              <w:rPr>
                <w:sz w:val="20"/>
                <w:szCs w:val="20"/>
              </w:rPr>
            </w:pPr>
            <w:r>
              <w:rPr>
                <w:rFonts w:eastAsia="Arial" w:cs="Arial"/>
                <w:b/>
                <w:color w:val="000000"/>
                <w:sz w:val="20"/>
                <w:szCs w:val="20"/>
              </w:rPr>
              <w:t xml:space="preserve">Unidade</w:t>
            </w:r>
            <w:r>
              <w:rPr>
                <w:sz w:val="20"/>
                <w:szCs w:val="20"/>
              </w:rPr>
            </w:r>
          </w:p>
        </w:tc>
        <w:tc>
          <w:tcPr>
            <w:shd w:val="clear" w:color="ffffff" w:fill="ffffff"/>
            <w:tcBorders>
              <w:top w:val="single" w:color="000000" w:sz="12" w:space="0"/>
              <w:left w:val="single" w:color="000000" w:sz="12" w:space="0"/>
              <w:bottom w:val="single" w:color="000000" w:sz="12" w:space="0"/>
              <w:right w:val="single" w:color="000000" w:sz="12" w:space="0"/>
            </w:tcBorders>
            <w:tcW w:w="2012" w:type="dxa"/>
            <w:textDirection w:val="lrTb"/>
            <w:noWrap w:val="false"/>
          </w:tcPr>
          <w:p>
            <w:pPr>
              <w:pStyle w:val="1056"/>
              <w:pBdr/>
              <w:spacing w:after="0" w:before="0" w:line="240" w:lineRule="auto"/>
              <w:ind/>
              <w:jc w:val="right"/>
              <w:rPr>
                <w:sz w:val="20"/>
                <w:szCs w:val="20"/>
              </w:rPr>
            </w:pPr>
            <w:r>
              <w:rPr>
                <w:rFonts w:eastAsia="Arial" w:cs="Arial"/>
                <w:b/>
                <w:color w:val="000000"/>
                <w:sz w:val="20"/>
                <w:szCs w:val="20"/>
              </w:rPr>
              <w:t xml:space="preserve">V. Unitário</w:t>
            </w:r>
            <w:r>
              <w:rPr>
                <w:sz w:val="20"/>
                <w:szCs w:val="20"/>
              </w:rPr>
            </w:r>
          </w:p>
        </w:tc>
        <w:tc>
          <w:tcPr>
            <w:shd w:val="clear" w:color="ffffff" w:fill="ffffff"/>
            <w:tcBorders>
              <w:top w:val="single" w:color="000000" w:sz="12" w:space="0"/>
              <w:left w:val="single" w:color="000000" w:sz="12" w:space="0"/>
              <w:bottom w:val="single" w:color="000000" w:sz="12" w:space="0"/>
              <w:right w:val="single" w:color="000000" w:sz="12" w:space="0"/>
            </w:tcBorders>
            <w:tcW w:w="2428" w:type="dxa"/>
            <w:textDirection w:val="lrTb"/>
            <w:noWrap w:val="false"/>
          </w:tcPr>
          <w:p>
            <w:pPr>
              <w:pStyle w:val="1056"/>
              <w:pBdr/>
              <w:spacing w:after="0" w:before="0" w:line="240" w:lineRule="auto"/>
              <w:ind/>
              <w:jc w:val="right"/>
              <w:rPr>
                <w:sz w:val="20"/>
                <w:szCs w:val="20"/>
              </w:rPr>
            </w:pPr>
            <w:r>
              <w:rPr>
                <w:rFonts w:eastAsia="Arial" w:cs="Arial"/>
                <w:b/>
                <w:color w:val="000000"/>
                <w:sz w:val="20"/>
                <w:szCs w:val="20"/>
              </w:rPr>
              <w:t xml:space="preserve">V. Total</w:t>
            </w:r>
            <w:r>
              <w:rPr>
                <w:sz w:val="20"/>
                <w:szCs w:val="20"/>
              </w:rPr>
            </w:r>
          </w:p>
        </w:tc>
      </w:tr>
      <w:tr>
        <w:trPr/>
        <w:tc>
          <w:tcPr>
            <w:shd w:val="clear" w:color="ffffff" w:fill="ffffff"/>
            <w:tcBorders>
              <w:top w:val="single" w:color="000000" w:sz="12" w:space="0"/>
              <w:left w:val="single" w:color="000000" w:sz="12" w:space="0"/>
              <w:bottom w:val="single" w:color="000000" w:sz="12" w:space="0"/>
              <w:right w:val="single" w:color="000000" w:sz="12" w:space="0"/>
            </w:tcBorders>
            <w:tcW w:w="473" w:type="dxa"/>
            <w:textDirection w:val="lrTb"/>
            <w:noWrap w:val="false"/>
          </w:tcPr>
          <w:p>
            <w:pPr>
              <w:pStyle w:val="1056"/>
              <w:pBdr/>
              <w:spacing w:after="0" w:before="0" w:line="240" w:lineRule="auto"/>
              <w:ind/>
              <w:jc w:val="center"/>
              <w:rPr>
                <w:rFonts w:ascii="Arial" w:hAnsi="Arial" w:eastAsia="Arial" w:cs="Arial"/>
                <w:b/>
                <w:color w:val="000000"/>
                <w:sz w:val="20"/>
                <w:szCs w:val="20"/>
              </w:rPr>
            </w:pPr>
            <w:r>
              <w:rPr>
                <w:rFonts w:eastAsia="Arial" w:cs="Arial"/>
                <w:b/>
                <w:color w:val="000000"/>
                <w:sz w:val="20"/>
                <w:szCs w:val="20"/>
              </w:rPr>
              <w:t xml:space="preserve">1</w:t>
            </w:r>
            <w:r>
              <w:rPr>
                <w:rFonts w:ascii="Arial" w:hAnsi="Arial" w:eastAsia="Arial" w:cs="Arial"/>
                <w:b/>
                <w:color w:val="000000"/>
                <w:sz w:val="20"/>
                <w:szCs w:val="20"/>
              </w:rPr>
            </w:r>
          </w:p>
        </w:tc>
        <w:tc>
          <w:tcPr>
            <w:shd w:val="clear" w:color="ffffff" w:fill="ffffff"/>
            <w:tcBorders>
              <w:top w:val="single" w:color="000000" w:sz="12" w:space="0"/>
              <w:left w:val="single" w:color="000000" w:sz="12" w:space="0"/>
              <w:bottom w:val="single" w:color="000000" w:sz="12" w:space="0"/>
              <w:right w:val="single" w:color="000000" w:sz="12" w:space="0"/>
            </w:tcBorders>
            <w:tcW w:w="2692" w:type="dxa"/>
            <w:textDirection w:val="lrTb"/>
            <w:noWrap w:val="false"/>
          </w:tcPr>
          <w:p>
            <w:pPr>
              <w:pStyle w:val="1056"/>
              <w:pBdr/>
              <w:spacing w:after="120" w:before="120"/>
              <w:ind/>
              <w:rPr>
                <w:rFonts w:ascii="Arial" w:hAnsi="Arial" w:cs="Arial"/>
                <w:sz w:val="20"/>
                <w:szCs w:val="20"/>
              </w:rPr>
            </w:pPr>
            <w:r>
              <w:rPr>
                <w:rFonts w:eastAsia="Arial" w:cs="Arial"/>
                <w:color w:val="000000"/>
                <w:sz w:val="20"/>
                <w:szCs w:val="20"/>
              </w:rPr>
              <w:t xml:space="preserve">Serviço de dedetização (desratização, descupinização, desinsetização, escorpião e expurgo) - - CATSERV: 3417 - Serviço de dedetização (desratização, descupinização, desinsetização, escorpião e expurgo) - - CATSERV: 3417</w:t>
            </w:r>
            <w:r>
              <w:rPr>
                <w:rFonts w:ascii="Arial" w:hAnsi="Arial" w:cs="Arial"/>
                <w:sz w:val="20"/>
                <w:szCs w:val="20"/>
              </w:rPr>
            </w:r>
          </w:p>
          <w:p>
            <w:pPr>
              <w:pStyle w:val="1056"/>
              <w:widowControl w:val="true"/>
              <w:pBdr/>
              <w:tabs>
                <w:tab w:val="left" w:leader="none" w:pos="567"/>
                <w:tab w:val="clear" w:leader="none" w:pos="720"/>
                <w:tab w:val="left" w:leader="none" w:pos="5040"/>
              </w:tabs>
              <w:spacing w:after="0" w:before="0" w:line="360" w:lineRule="auto"/>
              <w:ind/>
              <w:jc w:val="both"/>
              <w:rPr>
                <w:rFonts w:ascii="Arial" w:hAnsi="Arial" w:cs="Arial"/>
                <w:sz w:val="20"/>
                <w:szCs w:val="20"/>
              </w:rPr>
            </w:pPr>
            <w:r>
              <w:rPr>
                <w:rFonts w:cs="Arial"/>
                <w:sz w:val="20"/>
                <w:szCs w:val="20"/>
              </w:rPr>
            </w:r>
            <w:r>
              <w:rPr>
                <w:rFonts w:ascii="Arial" w:hAnsi="Arial" w:cs="Arial"/>
                <w:sz w:val="20"/>
                <w:szCs w:val="20"/>
              </w:rPr>
            </w:r>
          </w:p>
          <w:p>
            <w:pPr>
              <w:pStyle w:val="1056"/>
              <w:pBdr/>
              <w:spacing w:after="0" w:before="0" w:line="240" w:lineRule="auto"/>
              <w:ind/>
              <w:rPr>
                <w:rFonts w:ascii="Arial" w:hAnsi="Arial" w:eastAsia="Arial" w:cs="Arial"/>
                <w:b/>
                <w:color w:val="000000"/>
                <w:sz w:val="20"/>
                <w:szCs w:val="20"/>
              </w:rPr>
            </w:pPr>
            <w:r>
              <w:rPr>
                <w:rFonts w:eastAsia="Arial" w:cs="Arial"/>
                <w:b/>
                <w:color w:val="000000"/>
                <w:sz w:val="20"/>
                <w:szCs w:val="20"/>
              </w:rPr>
            </w:r>
            <w:r>
              <w:rPr>
                <w:rFonts w:ascii="Arial" w:hAnsi="Arial" w:eastAsia="Arial" w:cs="Arial"/>
                <w:b/>
                <w:color w:val="000000"/>
                <w:sz w:val="20"/>
                <w:szCs w:val="20"/>
              </w:rPr>
            </w:r>
          </w:p>
        </w:tc>
        <w:tc>
          <w:tcPr>
            <w:shd w:val="clear" w:color="ffffff" w:fill="ffffff"/>
            <w:tcBorders>
              <w:top w:val="single" w:color="000000" w:sz="12" w:space="0"/>
              <w:left w:val="single" w:color="000000" w:sz="12" w:space="0"/>
              <w:bottom w:val="single" w:color="000000" w:sz="12" w:space="0"/>
              <w:right w:val="single" w:color="000000" w:sz="12" w:space="0"/>
            </w:tcBorders>
            <w:tcW w:w="1129" w:type="dxa"/>
            <w:textDirection w:val="lrTb"/>
            <w:noWrap w:val="false"/>
          </w:tcPr>
          <w:p>
            <w:pPr>
              <w:pStyle w:val="1056"/>
              <w:pBdr/>
              <w:spacing w:after="120" w:before="120"/>
              <w:ind/>
              <w:jc w:val="right"/>
              <w:rPr>
                <w:rFonts w:ascii="Arial" w:hAnsi="Arial" w:cs="Arial"/>
                <w:sz w:val="20"/>
                <w:szCs w:val="20"/>
              </w:rPr>
            </w:pPr>
            <w:r>
              <w:rPr>
                <w:rFonts w:eastAsia="Arial" w:cs="Arial"/>
                <w:color w:val="000000"/>
                <w:sz w:val="20"/>
                <w:szCs w:val="20"/>
              </w:rPr>
              <w:t xml:space="preserve">41.969,300</w:t>
            </w:r>
            <w:r>
              <w:rPr>
                <w:rFonts w:ascii="Arial" w:hAnsi="Arial" w:cs="Arial"/>
                <w:sz w:val="20"/>
                <w:szCs w:val="20"/>
              </w:rPr>
            </w:r>
          </w:p>
          <w:p>
            <w:pPr>
              <w:pStyle w:val="1056"/>
              <w:widowControl w:val="true"/>
              <w:pBdr/>
              <w:tabs>
                <w:tab w:val="left" w:leader="none" w:pos="567"/>
                <w:tab w:val="clear" w:leader="none" w:pos="720"/>
                <w:tab w:val="left" w:leader="none" w:pos="5040"/>
              </w:tabs>
              <w:spacing w:after="0" w:before="0" w:line="360" w:lineRule="auto"/>
              <w:ind/>
              <w:jc w:val="both"/>
              <w:rPr>
                <w:rFonts w:ascii="Arial" w:hAnsi="Arial" w:cs="Arial"/>
              </w:rPr>
            </w:pPr>
            <w:r>
              <w:rPr>
                <w:rFonts w:cs="Arial"/>
              </w:rPr>
            </w:r>
            <w:r>
              <w:rPr>
                <w:rFonts w:ascii="Arial" w:hAnsi="Arial" w:cs="Arial"/>
              </w:rPr>
            </w:r>
          </w:p>
          <w:p>
            <w:pPr>
              <w:pStyle w:val="1056"/>
              <w:pBdr/>
              <w:spacing w:after="0" w:before="0" w:line="240" w:lineRule="auto"/>
              <w:ind/>
              <w:rPr>
                <w:rFonts w:ascii="Arial" w:hAnsi="Arial" w:eastAsia="Arial" w:cs="Arial"/>
                <w:b/>
                <w:color w:val="000000"/>
                <w:sz w:val="20"/>
                <w:szCs w:val="20"/>
              </w:rPr>
            </w:pPr>
            <w:r>
              <w:rPr>
                <w:rFonts w:eastAsia="Arial" w:cs="Arial"/>
                <w:b/>
                <w:color w:val="000000"/>
                <w:sz w:val="20"/>
                <w:szCs w:val="20"/>
              </w:rPr>
            </w:r>
            <w:r>
              <w:rPr>
                <w:rFonts w:ascii="Arial" w:hAnsi="Arial" w:eastAsia="Arial" w:cs="Arial"/>
                <w:b/>
                <w:color w:val="000000"/>
                <w:sz w:val="20"/>
                <w:szCs w:val="20"/>
              </w:rPr>
            </w:r>
          </w:p>
        </w:tc>
        <w:tc>
          <w:tcPr>
            <w:shd w:val="clear" w:color="ffffff" w:fill="ffffff"/>
            <w:tcBorders>
              <w:top w:val="single" w:color="000000" w:sz="12" w:space="0"/>
              <w:left w:val="single" w:color="000000" w:sz="12" w:space="0"/>
              <w:bottom w:val="single" w:color="000000" w:sz="12" w:space="0"/>
              <w:right w:val="single" w:color="000000" w:sz="12" w:space="0"/>
            </w:tcBorders>
            <w:tcW w:w="820" w:type="dxa"/>
            <w:textDirection w:val="lrTb"/>
            <w:noWrap w:val="false"/>
          </w:tcPr>
          <w:p>
            <w:pPr>
              <w:pStyle w:val="1056"/>
              <w:pBdr/>
              <w:spacing w:after="120" w:before="120"/>
              <w:ind/>
              <w:jc w:val="center"/>
              <w:rPr>
                <w:rFonts w:ascii="Arial" w:hAnsi="Arial" w:cs="Arial"/>
                <w:sz w:val="20"/>
                <w:szCs w:val="20"/>
              </w:rPr>
            </w:pPr>
            <w:r>
              <w:rPr>
                <w:rFonts w:eastAsia="Arial" w:cs="Arial"/>
                <w:color w:val="000000"/>
                <w:sz w:val="20"/>
                <w:szCs w:val="20"/>
              </w:rPr>
              <w:t xml:space="preserve">M²</w:t>
            </w:r>
            <w:r>
              <w:rPr>
                <w:rFonts w:ascii="Arial" w:hAnsi="Arial" w:cs="Arial"/>
                <w:sz w:val="20"/>
                <w:szCs w:val="20"/>
              </w:rPr>
            </w:r>
          </w:p>
          <w:p>
            <w:pPr>
              <w:pStyle w:val="1056"/>
              <w:pBdr/>
              <w:spacing w:after="0" w:before="0" w:line="240" w:lineRule="auto"/>
              <w:ind/>
              <w:jc w:val="center"/>
              <w:rPr>
                <w:rFonts w:ascii="Arial" w:hAnsi="Arial" w:eastAsia="Arial" w:cs="Arial"/>
                <w:b/>
                <w:color w:val="000000"/>
                <w:sz w:val="20"/>
                <w:szCs w:val="20"/>
              </w:rPr>
            </w:pPr>
            <w:r>
              <w:rPr>
                <w:rFonts w:eastAsia="Arial" w:cs="Arial"/>
                <w:b/>
                <w:color w:val="000000"/>
                <w:sz w:val="20"/>
                <w:szCs w:val="20"/>
              </w:rPr>
            </w:r>
            <w:r>
              <w:rPr>
                <w:rFonts w:ascii="Arial" w:hAnsi="Arial" w:eastAsia="Arial" w:cs="Arial"/>
                <w:b/>
                <w:color w:val="000000"/>
                <w:sz w:val="20"/>
                <w:szCs w:val="20"/>
              </w:rPr>
            </w:r>
          </w:p>
        </w:tc>
        <w:tc>
          <w:tcPr>
            <w:shd w:val="clear" w:color="ffffff" w:fill="ffffff"/>
            <w:tcBorders>
              <w:top w:val="single" w:color="000000" w:sz="12" w:space="0"/>
              <w:left w:val="single" w:color="000000" w:sz="12" w:space="0"/>
              <w:bottom w:val="single" w:color="000000" w:sz="12" w:space="0"/>
              <w:right w:val="single" w:color="000000" w:sz="12" w:space="0"/>
            </w:tcBorders>
            <w:tcW w:w="2012" w:type="dxa"/>
            <w:textDirection w:val="lrTb"/>
            <w:noWrap w:val="false"/>
          </w:tcPr>
          <w:p>
            <w:pPr>
              <w:pStyle w:val="1056"/>
              <w:pBdr/>
              <w:spacing w:after="0" w:before="0" w:line="240" w:lineRule="auto"/>
              <w:ind/>
              <w:jc w:val="right"/>
              <w:rPr>
                <w:rFonts w:ascii="Arial" w:hAnsi="Arial" w:eastAsia="Arial" w:cs="Arial"/>
                <w:b/>
                <w:color w:val="000000"/>
                <w:sz w:val="20"/>
                <w:szCs w:val="20"/>
              </w:rPr>
            </w:pPr>
            <w:r>
              <w:rPr>
                <w:rFonts w:eastAsia="Arial" w:cs="Arial"/>
                <w:b/>
                <w:color w:val="000000"/>
                <w:sz w:val="20"/>
                <w:szCs w:val="20"/>
              </w:rPr>
            </w:r>
            <w:r>
              <w:rPr>
                <w:rFonts w:ascii="Arial" w:hAnsi="Arial" w:eastAsia="Arial" w:cs="Arial"/>
                <w:b/>
                <w:color w:val="000000"/>
                <w:sz w:val="20"/>
                <w:szCs w:val="20"/>
              </w:rPr>
            </w:r>
          </w:p>
        </w:tc>
        <w:tc>
          <w:tcPr>
            <w:shd w:val="clear" w:color="ffffff" w:fill="ffffff"/>
            <w:tcBorders>
              <w:top w:val="single" w:color="000000" w:sz="12" w:space="0"/>
              <w:left w:val="single" w:color="000000" w:sz="12" w:space="0"/>
              <w:bottom w:val="single" w:color="000000" w:sz="12" w:space="0"/>
              <w:right w:val="single" w:color="000000" w:sz="12" w:space="0"/>
            </w:tcBorders>
            <w:tcW w:w="2428" w:type="dxa"/>
            <w:textDirection w:val="lrTb"/>
            <w:noWrap w:val="false"/>
          </w:tcPr>
          <w:p>
            <w:pPr>
              <w:pStyle w:val="1056"/>
              <w:pBdr/>
              <w:spacing w:after="0" w:before="0" w:line="240" w:lineRule="auto"/>
              <w:ind/>
              <w:jc w:val="right"/>
              <w:rPr>
                <w:rFonts w:ascii="Arial" w:hAnsi="Arial" w:eastAsia="Arial" w:cs="Arial"/>
                <w:b/>
                <w:color w:val="000000"/>
                <w:sz w:val="20"/>
                <w:szCs w:val="20"/>
              </w:rPr>
            </w:pPr>
            <w:r>
              <w:rPr>
                <w:rFonts w:eastAsia="Arial" w:cs="Arial"/>
                <w:b/>
                <w:color w:val="000000"/>
                <w:sz w:val="20"/>
                <w:szCs w:val="20"/>
              </w:rPr>
            </w:r>
            <w:r>
              <w:rPr>
                <w:rFonts w:ascii="Arial" w:hAnsi="Arial" w:eastAsia="Arial" w:cs="Arial"/>
                <w:b/>
                <w:color w:val="000000"/>
                <w:sz w:val="20"/>
                <w:szCs w:val="20"/>
              </w:rPr>
            </w:r>
          </w:p>
        </w:tc>
      </w:tr>
      <w:tr>
        <w:trPr/>
        <w:tc>
          <w:tcPr>
            <w:gridSpan w:val="5"/>
            <w:shd w:val="clear" w:color="ffffff" w:fill="ffffff"/>
            <w:tcBorders>
              <w:top w:val="single" w:color="000000" w:sz="12" w:space="0"/>
              <w:left w:val="single" w:color="000000" w:sz="12" w:space="0"/>
              <w:bottom w:val="single" w:color="000000" w:sz="12" w:space="0"/>
              <w:right w:val="single" w:color="000000" w:sz="12" w:space="0"/>
            </w:tcBorders>
            <w:tcW w:w="7126" w:type="dxa"/>
            <w:textDirection w:val="lrTb"/>
            <w:noWrap w:val="false"/>
          </w:tcPr>
          <w:p>
            <w:pPr>
              <w:pStyle w:val="1056"/>
              <w:pBdr/>
              <w:spacing w:after="0" w:before="0" w:line="240" w:lineRule="auto"/>
              <w:ind/>
              <w:jc w:val="right"/>
              <w:rPr>
                <w:rFonts w:ascii="Arial" w:hAnsi="Arial" w:eastAsia="Arial" w:cs="Arial"/>
                <w:b/>
                <w:color w:val="000000"/>
                <w:sz w:val="20"/>
                <w:szCs w:val="20"/>
              </w:rPr>
            </w:pPr>
            <w:r>
              <w:rPr>
                <w:rFonts w:eastAsia="Arial" w:cs="Arial"/>
                <w:b/>
                <w:color w:val="000000"/>
                <w:sz w:val="20"/>
                <w:szCs w:val="20"/>
              </w:rPr>
              <w:t xml:space="preserve">TOTAL</w:t>
            </w:r>
            <w:r>
              <w:rPr>
                <w:rFonts w:ascii="Arial" w:hAnsi="Arial" w:eastAsia="Arial" w:cs="Arial"/>
                <w:b/>
                <w:color w:val="000000"/>
                <w:sz w:val="20"/>
                <w:szCs w:val="20"/>
              </w:rPr>
            </w:r>
          </w:p>
        </w:tc>
        <w:tc>
          <w:tcPr>
            <w:shd w:val="clear" w:color="ffffff" w:fill="ffffff"/>
            <w:tcBorders>
              <w:top w:val="single" w:color="000000" w:sz="12" w:space="0"/>
              <w:left w:val="single" w:color="000000" w:sz="12" w:space="0"/>
              <w:bottom w:val="single" w:color="000000" w:sz="12" w:space="0"/>
              <w:right w:val="single" w:color="000000" w:sz="12" w:space="0"/>
            </w:tcBorders>
            <w:tcW w:w="2428" w:type="dxa"/>
            <w:textDirection w:val="lrTb"/>
            <w:noWrap w:val="false"/>
          </w:tcPr>
          <w:p>
            <w:pPr>
              <w:pStyle w:val="1056"/>
              <w:pBdr/>
              <w:spacing w:after="0" w:before="0" w:line="240" w:lineRule="auto"/>
              <w:ind/>
              <w:jc w:val="right"/>
              <w:rPr>
                <w:rFonts w:ascii="Arial" w:hAnsi="Arial" w:eastAsia="Arial" w:cs="Arial"/>
                <w:b/>
                <w:color w:val="000000"/>
                <w:sz w:val="20"/>
                <w:szCs w:val="20"/>
              </w:rPr>
            </w:pPr>
            <w:r>
              <w:rPr>
                <w:rFonts w:eastAsia="Arial" w:cs="Arial"/>
                <w:b/>
                <w:color w:val="000000"/>
                <w:sz w:val="20"/>
                <w:szCs w:val="20"/>
              </w:rPr>
            </w:r>
            <w:r>
              <w:rPr>
                <w:rFonts w:ascii="Arial" w:hAnsi="Arial" w:eastAsia="Arial" w:cs="Arial"/>
                <w:b/>
                <w:color w:val="000000"/>
                <w:sz w:val="20"/>
                <w:szCs w:val="20"/>
              </w:rPr>
            </w:r>
          </w:p>
        </w:tc>
      </w:tr>
    </w:tbl>
    <w:p>
      <w:pPr>
        <w:pStyle w:val="1056"/>
        <w:pBdr/>
        <w:spacing w:after="0" w:before="0"/>
        <w:ind/>
        <w:rPr>
          <w:b/>
          <w:sz w:val="24"/>
          <w:szCs w:val="24"/>
        </w:rPr>
      </w:pPr>
      <w:r>
        <w:rPr>
          <w:b/>
          <w:sz w:val="24"/>
          <w:szCs w:val="24"/>
        </w:rPr>
      </w:r>
      <w:r>
        <w:rPr>
          <w:b/>
          <w:sz w:val="24"/>
          <w:szCs w:val="24"/>
        </w:rPr>
      </w:r>
    </w:p>
    <w:p>
      <w:pPr>
        <w:pStyle w:val="1165"/>
        <w:pBdr/>
        <w:spacing w:after="0" w:before="3"/>
        <w:ind/>
        <w:rPr>
          <w:rFonts w:ascii="Times New Roman" w:hAnsi="Times New Roman"/>
          <w:sz w:val="9"/>
        </w:rPr>
      </w:pPr>
      <w:r>
        <w:rPr>
          <w:rFonts w:ascii="Times New Roman" w:hAnsi="Times New Roman"/>
          <w:sz w:val="9"/>
        </w:rPr>
      </w:r>
      <w:r>
        <w:rPr>
          <w:rFonts w:ascii="Times New Roman" w:hAnsi="Times New Roman"/>
          <w:sz w:val="9"/>
        </w:rPr>
      </w:r>
    </w:p>
    <w:p>
      <w:pPr>
        <w:pStyle w:val="1165"/>
        <w:pBdr/>
        <w:spacing w:after="0" w:before="3"/>
        <w:ind/>
        <w:rPr>
          <w:rFonts w:ascii="Times New Roman" w:hAnsi="Times New Roman"/>
          <w:sz w:val="9"/>
        </w:rPr>
      </w:pPr>
      <w:r>
        <w:rPr>
          <w:rFonts w:ascii="Times New Roman" w:hAnsi="Times New Roman"/>
          <w:sz w:val="9"/>
        </w:rPr>
      </w:r>
      <w:r>
        <w:rPr>
          <w:rFonts w:ascii="Times New Roman" w:hAnsi="Times New Roman"/>
          <w:sz w:val="9"/>
        </w:rPr>
      </w:r>
    </w:p>
    <w:p>
      <w:pPr>
        <w:pStyle w:val="1165"/>
        <w:pBdr/>
        <w:spacing w:after="0" w:before="3"/>
        <w:ind/>
        <w:rPr>
          <w:rFonts w:ascii="Times New Roman" w:hAnsi="Times New Roman"/>
          <w:sz w:val="9"/>
        </w:rPr>
      </w:pPr>
      <w:r>
        <w:rPr>
          <w:rFonts w:ascii="Times New Roman" w:hAnsi="Times New Roman"/>
          <w:sz w:val="9"/>
        </w:rPr>
      </w:r>
      <w:r>
        <w:rPr>
          <w:rFonts w:ascii="Times New Roman" w:hAnsi="Times New Roman"/>
          <w:sz w:val="9"/>
        </w:rPr>
      </w:r>
    </w:p>
    <w:p>
      <w:pPr>
        <w:pStyle w:val="1165"/>
        <w:pBdr/>
        <w:spacing w:after="0" w:before="3"/>
        <w:ind/>
        <w:rPr>
          <w:rFonts w:ascii="Times New Roman" w:hAnsi="Times New Roman"/>
          <w:sz w:val="9"/>
        </w:rPr>
      </w:pPr>
      <w:r>
        <w:rPr>
          <w:rFonts w:ascii="Times New Roman" w:hAnsi="Times New Roman"/>
          <w:sz w:val="9"/>
        </w:rPr>
      </w:r>
      <w:r>
        <w:rPr>
          <w:rFonts w:ascii="Times New Roman" w:hAnsi="Times New Roman"/>
          <w:sz w:val="9"/>
        </w:rPr>
      </w:r>
    </w:p>
    <w:p>
      <w:pPr>
        <w:pStyle w:val="1165"/>
        <w:pBdr/>
        <w:tabs>
          <w:tab w:val="clear" w:leader="none" w:pos="720"/>
          <w:tab w:val="left" w:leader="none" w:pos="3195"/>
        </w:tabs>
        <w:spacing w:after="0" w:before="3"/>
        <w:ind/>
        <w:rPr>
          <w:rFonts w:ascii="Times New Roman" w:hAnsi="Times New Roman"/>
          <w:sz w:val="9"/>
        </w:rPr>
      </w:pPr>
      <w:r>
        <w:rPr>
          <w:rFonts w:ascii="Times New Roman" w:hAnsi="Times New Roman"/>
          <w:sz w:val="9"/>
        </w:rPr>
        <w:tab/>
      </w:r>
      <w:r>
        <w:rPr>
          <w:rFonts w:ascii="Times New Roman" w:hAnsi="Times New Roman"/>
          <w:sz w:val="9"/>
        </w:rPr>
      </w:r>
    </w:p>
    <w:p>
      <w:pPr>
        <w:pStyle w:val="1165"/>
        <w:pBdr/>
        <w:spacing w:after="0" w:before="3"/>
        <w:ind/>
        <w:rPr>
          <w:rFonts w:ascii="Times New Roman" w:hAnsi="Times New Roman"/>
          <w:sz w:val="9"/>
        </w:rPr>
      </w:pPr>
      <w:r>
        <w:rPr>
          <w:rFonts w:ascii="Times New Roman" w:hAnsi="Times New Roman"/>
          <w:sz w:val="9"/>
        </w:rPr>
      </w:r>
      <w:r>
        <w:rPr>
          <w:rFonts w:ascii="Times New Roman" w:hAnsi="Times New Roman"/>
          <w:sz w:val="9"/>
        </w:rPr>
      </w:r>
    </w:p>
    <w:p>
      <w:pPr>
        <w:pStyle w:val="1056"/>
        <w:pBdr/>
        <w:spacing w:after="480" w:before="120"/>
        <w:ind/>
        <w:jc w:val="center"/>
        <w:rPr>
          <w:b/>
          <w:sz w:val="24"/>
          <w:szCs w:val="24"/>
        </w:rPr>
      </w:pPr>
      <w:r>
        <w:rPr>
          <w:b/>
          <w:sz w:val="24"/>
          <w:szCs w:val="24"/>
        </w:rPr>
      </w:r>
      <w:r>
        <w:rPr>
          <w:b/>
          <w:sz w:val="24"/>
          <w:szCs w:val="24"/>
        </w:rPr>
      </w:r>
    </w:p>
    <w:p>
      <w:pPr>
        <w:pStyle w:val="1056"/>
        <w:pBdr/>
        <w:spacing w:after="480" w:before="120"/>
        <w:ind/>
        <w:jc w:val="center"/>
        <w:rPr>
          <w:b/>
          <w:sz w:val="24"/>
          <w:szCs w:val="24"/>
        </w:rPr>
      </w:pPr>
      <w:r>
        <w:rPr>
          <w:b/>
          <w:sz w:val="24"/>
          <w:szCs w:val="24"/>
        </w:rPr>
      </w:r>
      <w:r>
        <w:rPr>
          <w:b/>
          <w:sz w:val="24"/>
          <w:szCs w:val="24"/>
        </w:rPr>
      </w:r>
    </w:p>
    <w:p>
      <w:pPr>
        <w:pStyle w:val="1056"/>
        <w:pBdr/>
        <w:spacing w:after="480" w:before="120"/>
        <w:ind/>
        <w:jc w:val="center"/>
        <w:rPr>
          <w:b/>
          <w:bCs/>
          <w:sz w:val="24"/>
          <w:szCs w:val="24"/>
        </w:rPr>
      </w:pPr>
      <w:r>
        <w:rPr>
          <w:b/>
          <w:bCs/>
          <w:sz w:val="24"/>
          <w:szCs w:val="24"/>
        </w:rPr>
      </w:r>
      <w:r>
        <w:rPr>
          <w:b/>
          <w:bCs/>
          <w:sz w:val="24"/>
          <w:szCs w:val="24"/>
        </w:rPr>
      </w:r>
    </w:p>
    <w:p>
      <w:pPr>
        <w:pStyle w:val="1056"/>
        <w:pBdr/>
        <w:spacing w:after="480" w:before="120"/>
        <w:ind/>
        <w:jc w:val="center"/>
        <w:rPr>
          <w:b/>
          <w:bCs/>
          <w:sz w:val="24"/>
          <w:szCs w:val="24"/>
        </w:rPr>
      </w:pPr>
      <w:r>
        <w:rPr>
          <w:b/>
          <w:bCs/>
          <w:sz w:val="24"/>
          <w:szCs w:val="24"/>
        </w:rPr>
      </w:r>
      <w:r>
        <w:rPr>
          <w:b/>
          <w:bCs/>
          <w:sz w:val="24"/>
          <w:szCs w:val="24"/>
        </w:rPr>
      </w:r>
    </w:p>
    <w:p>
      <w:pPr>
        <w:pStyle w:val="1056"/>
        <w:pBdr/>
        <w:spacing w:after="480" w:before="120"/>
        <w:ind/>
        <w:jc w:val="center"/>
        <w:rPr>
          <w:b/>
          <w:bCs/>
          <w:sz w:val="24"/>
          <w:szCs w:val="24"/>
        </w:rPr>
      </w:pPr>
      <w:r>
        <w:rPr>
          <w:b/>
          <w:bCs/>
          <w:sz w:val="24"/>
          <w:szCs w:val="24"/>
        </w:rPr>
      </w:r>
      <w:r>
        <w:rPr>
          <w:b/>
          <w:bCs/>
          <w:sz w:val="24"/>
          <w:szCs w:val="24"/>
        </w:rPr>
      </w:r>
    </w:p>
    <w:p>
      <w:pPr>
        <w:pStyle w:val="1056"/>
        <w:pBdr/>
        <w:spacing w:after="480" w:before="120"/>
        <w:ind/>
        <w:jc w:val="center"/>
        <w:rPr>
          <w:b/>
          <w:bCs/>
          <w:sz w:val="24"/>
          <w:szCs w:val="24"/>
        </w:rPr>
      </w:pPr>
      <w:r>
        <w:rPr>
          <w:b/>
          <w:bCs/>
          <w:sz w:val="24"/>
          <w:szCs w:val="24"/>
        </w:rPr>
      </w:r>
      <w:r>
        <w:rPr>
          <w:b/>
          <w:bCs/>
          <w:sz w:val="24"/>
          <w:szCs w:val="24"/>
        </w:rPr>
      </w:r>
    </w:p>
    <w:p>
      <w:pPr>
        <w:pStyle w:val="1056"/>
        <w:pBdr/>
        <w:spacing w:after="480" w:before="120"/>
        <w:ind/>
        <w:jc w:val="center"/>
        <w:rPr>
          <w:b/>
          <w:bCs/>
          <w:sz w:val="24"/>
          <w:szCs w:val="24"/>
        </w:rPr>
      </w:pPr>
      <w:r>
        <w:rPr>
          <w:b/>
          <w:bCs/>
          <w:sz w:val="24"/>
          <w:szCs w:val="24"/>
        </w:rPr>
      </w:r>
      <w:r>
        <w:rPr>
          <w:b/>
          <w:bCs/>
          <w:sz w:val="24"/>
          <w:szCs w:val="24"/>
        </w:rPr>
      </w:r>
    </w:p>
    <w:p>
      <w:pPr>
        <w:pStyle w:val="1056"/>
        <w:pBdr/>
        <w:spacing w:after="480" w:before="120"/>
        <w:ind/>
        <w:jc w:val="center"/>
        <w:rPr>
          <w:b/>
          <w:bCs/>
          <w:sz w:val="24"/>
          <w:szCs w:val="24"/>
        </w:rPr>
      </w:pPr>
      <w:r>
        <w:rPr>
          <w:b/>
          <w:bCs/>
          <w:sz w:val="24"/>
          <w:szCs w:val="24"/>
        </w:rPr>
      </w:r>
      <w:r>
        <w:rPr>
          <w:b/>
          <w:bCs/>
          <w:sz w:val="24"/>
          <w:szCs w:val="24"/>
        </w:rPr>
      </w:r>
    </w:p>
    <w:p>
      <w:pPr>
        <w:pStyle w:val="1056"/>
        <w:pBdr/>
        <w:spacing w:after="480" w:before="120"/>
        <w:ind/>
        <w:jc w:val="left"/>
        <w:rPr>
          <w:b/>
          <w:bCs/>
          <w:sz w:val="24"/>
          <w:szCs w:val="24"/>
        </w:rPr>
      </w:pPr>
      <w:r>
        <w:rPr>
          <w:b/>
          <w:bCs/>
          <w:sz w:val="24"/>
          <w:szCs w:val="24"/>
        </w:rPr>
      </w:r>
      <w:r>
        <w:rPr>
          <w:b/>
          <w:bCs/>
          <w:sz w:val="24"/>
          <w:szCs w:val="24"/>
        </w:rPr>
      </w:r>
    </w:p>
    <w:p>
      <w:pPr>
        <w:pStyle w:val="1056"/>
        <w:pBdr/>
        <w:spacing w:after="480" w:before="120"/>
        <w:ind/>
        <w:jc w:val="center"/>
        <w:rPr>
          <w:b/>
          <w:sz w:val="24"/>
          <w:szCs w:val="24"/>
        </w:rPr>
      </w:pPr>
      <w:r>
        <w:rPr>
          <w:b/>
          <w:sz w:val="24"/>
          <w:szCs w:val="24"/>
        </w:rPr>
      </w:r>
      <w:r>
        <w:rPr>
          <w:b/>
          <w:sz w:val="24"/>
          <w:szCs w:val="24"/>
        </w:rPr>
      </w:r>
    </w:p>
    <w:p>
      <w:pPr>
        <w:pStyle w:val="1056"/>
        <w:pBdr/>
        <w:spacing w:after="480" w:before="120"/>
        <w:ind/>
        <w:jc w:val="center"/>
        <w:rPr>
          <w:b/>
          <w:sz w:val="24"/>
          <w:szCs w:val="24"/>
        </w:rPr>
      </w:pPr>
      <w:r>
        <w:rPr>
          <w:b/>
          <w:sz w:val="24"/>
          <w:szCs w:val="24"/>
        </w:rPr>
        <w:t xml:space="preserve">ANEXO III - MODELO DE DECLARAÇÃO UNIFICADA</w:t>
      </w:r>
      <w:r>
        <w:rPr>
          <w:b/>
          <w:sz w:val="24"/>
          <w:szCs w:val="24"/>
        </w:rPr>
      </w:r>
    </w:p>
    <w:p>
      <w:pPr>
        <w:pStyle w:val="1056"/>
        <w:pBdr/>
        <w:spacing w:after="0" w:before="0"/>
        <w:ind/>
        <w:rPr>
          <w:b/>
          <w:sz w:val="24"/>
          <w:szCs w:val="24"/>
        </w:rPr>
      </w:pPr>
      <w:r>
        <w:rPr>
          <w:b/>
          <w:sz w:val="24"/>
          <w:szCs w:val="24"/>
        </w:rPr>
        <w:t xml:space="preserve">Processo Administrativo nº 7190/2025.</w:t>
      </w:r>
      <w:r>
        <w:rPr>
          <w:b/>
          <w:sz w:val="24"/>
          <w:szCs w:val="24"/>
        </w:rPr>
      </w:r>
    </w:p>
    <w:p>
      <w:pPr>
        <w:pStyle w:val="1056"/>
        <w:pBdr/>
        <w:spacing w:after="0" w:before="0"/>
        <w:ind/>
        <w:rPr>
          <w:sz w:val="24"/>
          <w:szCs w:val="24"/>
        </w:rPr>
      </w:pPr>
      <w:r>
        <w:rPr>
          <w:b/>
          <w:sz w:val="24"/>
          <w:szCs w:val="24"/>
        </w:rPr>
        <w:t xml:space="preserve">Pregão Eletrônico nº 020/2025.</w:t>
      </w:r>
      <w:r>
        <w:rPr>
          <w:sz w:val="24"/>
          <w:szCs w:val="24"/>
        </w:rPr>
      </w:r>
    </w:p>
    <w:p>
      <w:pPr>
        <w:pStyle w:val="1056"/>
        <w:pBdr/>
        <w:spacing w:after="0" w:before="0"/>
        <w:ind/>
        <w:rPr>
          <w:sz w:val="24"/>
          <w:szCs w:val="24"/>
        </w:rPr>
      </w:pPr>
      <w:r>
        <w:rPr>
          <w:sz w:val="24"/>
          <w:szCs w:val="24"/>
        </w:rPr>
        <w:t xml:space="preserve">Rua Cel. Eurico de Castro, nº 14 – Centro, Rio das Flôres – RJ. </w:t>
      </w:r>
      <w:r>
        <w:rPr>
          <w:sz w:val="24"/>
          <w:szCs w:val="24"/>
        </w:rPr>
      </w:r>
    </w:p>
    <w:p>
      <w:pPr>
        <w:pStyle w:val="1056"/>
        <w:pBdr/>
        <w:spacing w:after="120" w:before="146"/>
        <w:ind w:right="34"/>
        <w:jc w:val="center"/>
        <w:rPr>
          <w:rFonts w:eastAsia="Arial"/>
          <w:color w:val="000000"/>
          <w:sz w:val="24"/>
          <w:szCs w:val="24"/>
        </w:rPr>
      </w:pPr>
      <w:r>
        <w:rPr>
          <w:rFonts w:eastAsia="Arial"/>
          <w:color w:val="000000"/>
          <w:sz w:val="24"/>
          <w:szCs w:val="24"/>
        </w:rPr>
      </w:r>
      <w:r>
        <w:rPr>
          <w:rFonts w:eastAsia="Arial"/>
          <w:color w:val="000000"/>
          <w:sz w:val="24"/>
          <w:szCs w:val="24"/>
        </w:rPr>
      </w:r>
    </w:p>
    <w:p>
      <w:pPr>
        <w:pStyle w:val="1056"/>
        <w:pBdr/>
        <w:spacing w:after="120" w:before="146"/>
        <w:ind w:right="34"/>
        <w:jc w:val="center"/>
        <w:rPr>
          <w:rFonts w:eastAsia="Arial"/>
          <w:color w:val="000000"/>
          <w:sz w:val="24"/>
          <w:szCs w:val="24"/>
        </w:rPr>
      </w:pPr>
      <w:r>
        <w:rPr>
          <w:rFonts w:eastAsia="Arial"/>
          <w:color w:val="000000"/>
          <w:sz w:val="24"/>
          <w:szCs w:val="24"/>
        </w:rPr>
        <w:t xml:space="preserve"> </w:t>
      </w:r>
      <w:r>
        <w:rPr>
          <w:rFonts w:eastAsia="Arial"/>
          <w:color w:val="000000"/>
          <w:sz w:val="24"/>
          <w:szCs w:val="24"/>
        </w:rPr>
        <w:t xml:space="preserve">(Papel timbrado da empresa, dispensado em caso de carimbo com CNPJ)</w:t>
      </w:r>
      <w:r>
        <w:rPr>
          <w:rFonts w:eastAsia="Arial"/>
          <w:color w:val="000000"/>
          <w:sz w:val="24"/>
          <w:szCs w:val="24"/>
        </w:rPr>
      </w:r>
    </w:p>
    <w:p>
      <w:pPr>
        <w:pStyle w:val="1056"/>
        <w:pBdr/>
        <w:tabs>
          <w:tab w:val="left" w:leader="none" w:pos="534"/>
          <w:tab w:val="clear" w:leader="none" w:pos="720"/>
          <w:tab w:val="left" w:leader="none" w:pos="1873"/>
          <w:tab w:val="left" w:leader="none" w:pos="5600"/>
          <w:tab w:val="left" w:leader="none" w:pos="6034"/>
          <w:tab w:val="left" w:leader="none" w:pos="7270"/>
          <w:tab w:val="left" w:leader="none" w:pos="7944"/>
        </w:tabs>
        <w:spacing w:after="120" w:before="101"/>
        <w:ind w:right="690"/>
        <w:rPr>
          <w:rFonts w:eastAsia="Arial"/>
          <w:color w:val="000000"/>
          <w:sz w:val="24"/>
          <w:szCs w:val="24"/>
        </w:rPr>
      </w:pPr>
      <w:r>
        <w:rPr>
          <w:rFonts w:eastAsia="Arial"/>
          <w:color w:val="000000"/>
          <w:sz w:val="24"/>
          <w:szCs w:val="24"/>
        </w:rPr>
      </w:r>
      <w:r>
        <w:rPr>
          <w:rFonts w:eastAsia="Arial"/>
          <w:color w:val="000000"/>
          <w:sz w:val="24"/>
          <w:szCs w:val="24"/>
        </w:rPr>
      </w:r>
    </w:p>
    <w:p>
      <w:pPr>
        <w:pStyle w:val="1056"/>
        <w:pBdr/>
        <w:tabs>
          <w:tab w:val="left" w:leader="none" w:pos="534"/>
          <w:tab w:val="clear" w:leader="none" w:pos="720"/>
          <w:tab w:val="left" w:leader="none" w:pos="1873"/>
          <w:tab w:val="left" w:leader="none" w:pos="5600"/>
          <w:tab w:val="left" w:leader="none" w:pos="6034"/>
          <w:tab w:val="left" w:leader="none" w:pos="7270"/>
          <w:tab w:val="left" w:leader="none" w:pos="7944"/>
          <w:tab w:val="left" w:leader="none" w:pos="9072"/>
        </w:tabs>
        <w:spacing w:after="120" w:before="101"/>
        <w:ind w:right="141"/>
        <w:rPr>
          <w:rFonts w:eastAsia="Arial"/>
          <w:color w:val="000000"/>
          <w:sz w:val="24"/>
          <w:szCs w:val="24"/>
        </w:rPr>
      </w:pPr>
      <w:r>
        <w:rPr>
          <w:rFonts w:eastAsia="Arial"/>
          <w:color w:val="000000"/>
          <w:sz w:val="24"/>
          <w:szCs w:val="24"/>
        </w:rPr>
        <w:t xml:space="preserve">A empresa</w:t>
      </w:r>
      <w:r>
        <w:rPr>
          <w:rFonts w:eastAsia="Arial"/>
          <w:color w:val="000000"/>
          <w:sz w:val="24"/>
          <w:szCs w:val="24"/>
          <w:u w:val="single"/>
        </w:rPr>
        <w:t xml:space="preserve"> _____</w:t>
      </w:r>
      <w:r>
        <w:rPr>
          <w:rFonts w:eastAsia="Arial"/>
          <w:color w:val="000000"/>
          <w:sz w:val="24"/>
          <w:szCs w:val="24"/>
        </w:rPr>
        <w:t xml:space="preserve">, sediada na Rua</w:t>
      </w:r>
      <w:r>
        <w:rPr>
          <w:rFonts w:eastAsia="Arial"/>
          <w:color w:val="000000"/>
          <w:sz w:val="24"/>
          <w:szCs w:val="24"/>
          <w:u w:val="single"/>
        </w:rPr>
        <w:t xml:space="preserve"> _______</w:t>
        <w:tab/>
      </w:r>
      <w:r>
        <w:rPr>
          <w:rFonts w:eastAsia="Arial"/>
          <w:color w:val="000000"/>
          <w:sz w:val="24"/>
          <w:szCs w:val="24"/>
        </w:rPr>
        <w:t xml:space="preserve">, nº</w:t>
      </w:r>
      <w:r>
        <w:rPr>
          <w:rFonts w:eastAsia="Arial"/>
          <w:color w:val="000000"/>
          <w:sz w:val="24"/>
          <w:szCs w:val="24"/>
          <w:u w:val="single"/>
        </w:rPr>
        <w:tab/>
      </w:r>
      <w:r>
        <w:rPr>
          <w:rFonts w:eastAsia="Arial"/>
          <w:color w:val="000000"/>
          <w:sz w:val="24"/>
          <w:szCs w:val="24"/>
        </w:rPr>
        <w:t xml:space="preserve">, Bairro</w:t>
      </w:r>
      <w:r>
        <w:rPr>
          <w:rFonts w:eastAsia="Arial"/>
          <w:color w:val="000000"/>
          <w:sz w:val="24"/>
          <w:szCs w:val="24"/>
          <w:u w:val="single"/>
        </w:rPr>
        <w:tab/>
        <w:t xml:space="preserve">_____</w:t>
      </w:r>
      <w:r>
        <w:rPr>
          <w:rFonts w:eastAsia="Arial"/>
          <w:color w:val="000000"/>
          <w:sz w:val="24"/>
          <w:szCs w:val="24"/>
        </w:rPr>
        <w:t xml:space="preserve">, na cidade de</w:t>
      </w:r>
      <w:r>
        <w:rPr>
          <w:rFonts w:eastAsia="Arial"/>
          <w:color w:val="000000"/>
          <w:sz w:val="24"/>
          <w:szCs w:val="24"/>
          <w:u w:val="single"/>
        </w:rPr>
        <w:t xml:space="preserve"> ___</w:t>
        <w:tab/>
      </w:r>
      <w:r>
        <w:rPr>
          <w:rFonts w:eastAsia="Arial"/>
          <w:color w:val="000000"/>
          <w:sz w:val="24"/>
          <w:szCs w:val="24"/>
        </w:rPr>
        <w:t xml:space="preserve"> /</w:t>
      </w:r>
      <w:r>
        <w:rPr>
          <w:rFonts w:eastAsia="Arial"/>
          <w:color w:val="000000"/>
          <w:sz w:val="24"/>
          <w:szCs w:val="24"/>
          <w:u w:val="single"/>
        </w:rPr>
        <w:t xml:space="preserve">   </w:t>
      </w:r>
      <w:r>
        <w:rPr>
          <w:rFonts w:eastAsia="Arial"/>
          <w:color w:val="000000"/>
          <w:sz w:val="24"/>
          <w:szCs w:val="24"/>
        </w:rPr>
        <w:t xml:space="preserve">, inscrita no Cadastro N</w:t>
      </w:r>
      <w:r>
        <w:rPr>
          <w:rFonts w:eastAsia="Arial"/>
          <w:color w:val="000000"/>
          <w:sz w:val="24"/>
          <w:szCs w:val="24"/>
        </w:rPr>
      </w:r>
    </w:p>
    <w:p>
      <w:pPr>
        <w:pStyle w:val="1056"/>
        <w:pBdr/>
        <w:tabs>
          <w:tab w:val="left" w:leader="none" w:pos="534"/>
          <w:tab w:val="clear" w:leader="none" w:pos="720"/>
          <w:tab w:val="left" w:leader="none" w:pos="1873"/>
          <w:tab w:val="left" w:leader="none" w:pos="5600"/>
          <w:tab w:val="left" w:leader="none" w:pos="6034"/>
          <w:tab w:val="left" w:leader="none" w:pos="7270"/>
          <w:tab w:val="left" w:leader="none" w:pos="7944"/>
          <w:tab w:val="left" w:leader="none" w:pos="9072"/>
        </w:tabs>
        <w:spacing w:after="120" w:before="101"/>
        <w:ind w:right="141"/>
        <w:rPr>
          <w:rFonts w:eastAsia="Arial"/>
          <w:color w:val="000000"/>
          <w:sz w:val="24"/>
          <w:szCs w:val="24"/>
        </w:rPr>
      </w:pPr>
      <w:r>
        <w:rPr>
          <w:rFonts w:eastAsia="Arial"/>
          <w:color w:val="000000"/>
          <w:sz w:val="24"/>
          <w:szCs w:val="24"/>
        </w:rPr>
        <w:t xml:space="preserve"> </w:t>
      </w:r>
      <w:r>
        <w:rPr>
          <w:rFonts w:eastAsia="Arial"/>
          <w:color w:val="000000"/>
          <w:sz w:val="24"/>
          <w:szCs w:val="24"/>
        </w:rPr>
        <w:t xml:space="preserve">acional de Pessoas Jurídicas (CNPJ) sob o nº</w:t>
      </w:r>
      <w:r>
        <w:rPr>
          <w:rFonts w:eastAsia="Arial"/>
          <w:color w:val="000000"/>
          <w:sz w:val="24"/>
          <w:szCs w:val="24"/>
          <w:u w:val="single"/>
        </w:rPr>
        <w:tab/>
        <w:tab/>
        <w:tab/>
      </w:r>
      <w:r>
        <w:rPr>
          <w:rFonts w:eastAsia="Arial"/>
          <w:color w:val="000000"/>
          <w:sz w:val="24"/>
          <w:szCs w:val="24"/>
        </w:rPr>
        <w:t xml:space="preserve">, por seu representante legal, o(a)   Sr(a).</w:t>
      </w:r>
      <w:r>
        <w:rPr>
          <w:rFonts w:eastAsia="Arial"/>
          <w:color w:val="000000"/>
          <w:sz w:val="24"/>
          <w:szCs w:val="24"/>
          <w:u w:val="single"/>
        </w:rPr>
        <w:tab/>
        <w:t xml:space="preserve">____________</w:t>
        <w:tab/>
      </w:r>
      <w:r>
        <w:rPr>
          <w:rFonts w:eastAsia="Arial"/>
          <w:color w:val="000000"/>
          <w:sz w:val="24"/>
          <w:szCs w:val="24"/>
        </w:rPr>
        <w:t xml:space="preserve">, portador(a) da Carteira de Identidade nº</w:t>
      </w:r>
      <w:r>
        <w:rPr>
          <w:rFonts w:eastAsia="Arial"/>
          <w:color w:val="000000"/>
          <w:sz w:val="24"/>
          <w:szCs w:val="24"/>
          <w:u w:val="single"/>
        </w:rPr>
        <w:t xml:space="preserve"> </w:t>
        <w:tab/>
      </w:r>
      <w:r>
        <w:rPr>
          <w:rFonts w:eastAsia="Arial"/>
          <w:color w:val="000000"/>
          <w:sz w:val="24"/>
          <w:szCs w:val="24"/>
        </w:rPr>
        <w:t xml:space="preserve">expedida pelo__________ e do CPF nº</w:t>
      </w:r>
      <w:r>
        <w:rPr>
          <w:rFonts w:eastAsia="Arial"/>
          <w:color w:val="000000"/>
          <w:sz w:val="24"/>
          <w:szCs w:val="24"/>
          <w:u w:val="single"/>
        </w:rPr>
        <w:tab/>
      </w:r>
      <w:r>
        <w:rPr>
          <w:rFonts w:eastAsia="Arial"/>
          <w:color w:val="000000"/>
          <w:sz w:val="24"/>
          <w:szCs w:val="24"/>
        </w:rPr>
        <w:t xml:space="preserve">, </w:t>
      </w:r>
      <w:r>
        <w:rPr>
          <w:rFonts w:eastAsia="Arial"/>
          <w:b/>
          <w:color w:val="000000"/>
          <w:sz w:val="24"/>
          <w:szCs w:val="24"/>
        </w:rPr>
        <w:t xml:space="preserve">DECLARA</w:t>
      </w:r>
      <w:r>
        <w:rPr>
          <w:rFonts w:eastAsia="Arial"/>
          <w:color w:val="000000"/>
          <w:sz w:val="24"/>
          <w:szCs w:val="24"/>
        </w:rPr>
        <w:t xml:space="preserve">:</w:t>
      </w:r>
      <w:r>
        <w:rPr>
          <w:rFonts w:eastAsia="Arial"/>
          <w:color w:val="000000"/>
          <w:sz w:val="24"/>
          <w:szCs w:val="24"/>
        </w:rPr>
      </w:r>
    </w:p>
    <w:p>
      <w:pPr>
        <w:pStyle w:val="1056"/>
        <w:pBdr/>
        <w:tabs>
          <w:tab w:val="left" w:leader="none" w:pos="534"/>
          <w:tab w:val="clear" w:leader="none" w:pos="720"/>
          <w:tab w:val="left" w:leader="none" w:pos="1873"/>
          <w:tab w:val="left" w:leader="none" w:pos="5600"/>
          <w:tab w:val="left" w:leader="none" w:pos="6034"/>
          <w:tab w:val="left" w:leader="none" w:pos="7270"/>
          <w:tab w:val="left" w:leader="none" w:pos="7944"/>
        </w:tabs>
        <w:spacing w:after="120" w:before="101"/>
        <w:ind w:right="690"/>
        <w:rPr>
          <w:rFonts w:eastAsia="Arial"/>
          <w:color w:val="000000"/>
          <w:sz w:val="24"/>
          <w:szCs w:val="24"/>
        </w:rPr>
      </w:pPr>
      <w:r>
        <w:rPr>
          <w:rFonts w:eastAsia="Arial"/>
          <w:color w:val="000000"/>
          <w:sz w:val="24"/>
          <w:szCs w:val="24"/>
        </w:rPr>
        <w:t xml:space="preserve"> </w:t>
      </w:r>
      <w:r>
        <w:rPr>
          <w:rFonts w:eastAsia="Arial"/>
          <w:color w:val="000000"/>
          <w:sz w:val="24"/>
          <w:szCs w:val="24"/>
        </w:rPr>
      </w:r>
    </w:p>
    <w:p>
      <w:pPr>
        <w:pStyle w:val="1056"/>
        <w:widowControl w:val="false"/>
        <w:numPr>
          <w:ilvl w:val="0"/>
          <w:numId w:val="13"/>
        </w:numPr>
        <w:pBdr/>
        <w:tabs>
          <w:tab w:val="left" w:leader="none" w:pos="284"/>
          <w:tab w:val="clear" w:leader="none" w:pos="720"/>
          <w:tab w:val="left" w:leader="none" w:pos="795"/>
        </w:tabs>
        <w:spacing w:after="0" w:before="0"/>
        <w:ind w:firstLine="0" w:left="0"/>
        <w:rPr>
          <w:rFonts w:eastAsia="Arial"/>
          <w:color w:val="000000"/>
          <w:sz w:val="24"/>
          <w:szCs w:val="24"/>
        </w:rPr>
      </w:pPr>
      <w:r>
        <w:rPr>
          <w:rFonts w:eastAsia="Arial"/>
          <w:color w:val="000000"/>
          <w:sz w:val="24"/>
          <w:szCs w:val="24"/>
        </w:rPr>
        <w:t xml:space="preserve">- está ciente e concorda com as condições contidas no edital e seus anexos, bem como de que a proposta apresentada compreende a integralidade dos custos para atendimento dos direitos trabalhistas assegurados na Constituição Federal, nas lei</w:t>
      </w:r>
      <w:r>
        <w:rPr>
          <w:rFonts w:eastAsia="Arial"/>
          <w:color w:val="000000"/>
          <w:sz w:val="24"/>
          <w:szCs w:val="24"/>
        </w:rPr>
        <w:t xml:space="preserve">s trabalhistas, nas normas infralegais, nas convenções coletivas de trabalho e nos termos de ajustamento de condutas vigentes na data de sua entrega em definitivo e que cumpre plenamente os requisitos de habilitação definidos no instrumento convocatório;  </w:t>
      </w:r>
      <w:r>
        <w:rPr>
          <w:rFonts w:eastAsia="Arial"/>
          <w:color w:val="000000"/>
          <w:sz w:val="24"/>
          <w:szCs w:val="24"/>
        </w:rPr>
      </w:r>
    </w:p>
    <w:p>
      <w:pPr>
        <w:pStyle w:val="1056"/>
        <w:widowControl w:val="false"/>
        <w:pBdr/>
        <w:tabs>
          <w:tab w:val="left" w:leader="none" w:pos="284"/>
          <w:tab w:val="clear" w:leader="none" w:pos="720"/>
          <w:tab w:val="left" w:leader="none" w:pos="795"/>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widowControl w:val="false"/>
        <w:numPr>
          <w:ilvl w:val="0"/>
          <w:numId w:val="13"/>
        </w:numPr>
        <w:pBdr/>
        <w:tabs>
          <w:tab w:val="left" w:leader="none" w:pos="284"/>
          <w:tab w:val="clear" w:leader="none" w:pos="720"/>
          <w:tab w:val="left" w:leader="none" w:pos="795"/>
        </w:tabs>
        <w:spacing w:after="0" w:before="0"/>
        <w:ind w:firstLine="0" w:left="0"/>
        <w:rPr>
          <w:rFonts w:eastAsia="Arial"/>
          <w:color w:val="000000"/>
          <w:sz w:val="24"/>
          <w:szCs w:val="24"/>
        </w:rPr>
      </w:pPr>
      <w:r>
        <w:rPr>
          <w:rFonts w:eastAsia="Arial"/>
          <w:color w:val="000000"/>
          <w:sz w:val="24"/>
          <w:szCs w:val="24"/>
        </w:rPr>
        <w:t xml:space="preserve">- sob as penas da lei, que os preços cotados incluem </w:t>
      </w:r>
      <w:r>
        <w:rPr>
          <w:rFonts w:eastAsia="Arial"/>
          <w:b/>
          <w:color w:val="000000"/>
          <w:sz w:val="24"/>
          <w:szCs w:val="24"/>
        </w:rPr>
        <w:t xml:space="preserve">todos os custos e despesas</w:t>
      </w:r>
      <w:r>
        <w:rPr>
          <w:rFonts w:eastAsia="Arial"/>
          <w:color w:val="000000"/>
          <w:sz w:val="24"/>
          <w:szCs w:val="24"/>
        </w:rPr>
        <w:t xml:space="preserve"> necessárias ao cumprimento integral das obrigações decorrentes desta licitação;</w:t>
      </w:r>
      <w:r>
        <w:rPr>
          <w:rFonts w:eastAsia="Arial"/>
          <w:color w:val="000000"/>
          <w:sz w:val="24"/>
          <w:szCs w:val="24"/>
        </w:rPr>
      </w:r>
    </w:p>
    <w:p>
      <w:pPr>
        <w:pStyle w:val="1056"/>
        <w:widowControl w:val="false"/>
        <w:pBdr/>
        <w:tabs>
          <w:tab w:val="left" w:leader="none" w:pos="284"/>
          <w:tab w:val="clear" w:leader="none" w:pos="720"/>
          <w:tab w:val="left" w:leader="none" w:pos="795"/>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widowControl w:val="false"/>
        <w:numPr>
          <w:ilvl w:val="0"/>
          <w:numId w:val="13"/>
        </w:numPr>
        <w:pBdr/>
        <w:tabs>
          <w:tab w:val="left" w:leader="none" w:pos="284"/>
          <w:tab w:val="clear" w:leader="none" w:pos="720"/>
          <w:tab w:val="left" w:leader="none" w:pos="795"/>
        </w:tabs>
        <w:spacing w:after="0" w:before="0"/>
        <w:ind w:firstLine="0" w:left="0"/>
        <w:rPr>
          <w:rFonts w:eastAsia="Arial"/>
          <w:color w:val="000000"/>
          <w:sz w:val="24"/>
          <w:szCs w:val="24"/>
        </w:rPr>
      </w:pPr>
      <w:r>
        <w:rPr>
          <w:rFonts w:eastAsia="Arial"/>
          <w:color w:val="000000"/>
          <w:sz w:val="24"/>
          <w:szCs w:val="24"/>
        </w:rPr>
        <w:t xml:space="preserve">- que, por ser de seu conhecimento, </w:t>
      </w:r>
      <w:r>
        <w:rPr>
          <w:rFonts w:eastAsia="Arial"/>
          <w:b/>
          <w:color w:val="000000"/>
          <w:sz w:val="24"/>
          <w:szCs w:val="24"/>
        </w:rPr>
        <w:t xml:space="preserve">atende e se submete a todas as cláusulas e condições do Edital e Anexos</w:t>
      </w:r>
      <w:r>
        <w:rPr>
          <w:rFonts w:eastAsia="Arial"/>
          <w:color w:val="000000"/>
          <w:sz w:val="24"/>
          <w:szCs w:val="24"/>
        </w:rPr>
        <w:t xml:space="preserve">, relativos a licitação supra, bem como às disposições da Lei Federal nº</w:t>
      </w:r>
      <w:r>
        <w:rPr>
          <w:rFonts w:eastAsia="Arial"/>
          <w:color w:val="000000"/>
          <w:sz w:val="24"/>
          <w:szCs w:val="24"/>
        </w:rPr>
        <w:t xml:space="preserve"> 14.133/2021 Lei Complementar nº 123/2006, com a redação que lhe atribuiu a Lei Complementar 147/2014 e Decretos nº 56.475/2015 e, e demais normas complementares que disciplinam o certame e que integrarão o ajuste correspondente, no que lhe for pertinente;</w:t>
      </w:r>
      <w:r>
        <w:rPr>
          <w:rFonts w:eastAsia="Arial"/>
          <w:color w:val="000000"/>
          <w:sz w:val="24"/>
          <w:szCs w:val="24"/>
        </w:rPr>
      </w:r>
    </w:p>
    <w:p>
      <w:pPr>
        <w:pStyle w:val="1056"/>
        <w:widowControl w:val="false"/>
        <w:pBdr/>
        <w:tabs>
          <w:tab w:val="left" w:leader="none" w:pos="284"/>
          <w:tab w:val="clear" w:leader="none" w:pos="720"/>
          <w:tab w:val="left" w:leader="none" w:pos="795"/>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widowControl w:val="false"/>
        <w:numPr>
          <w:ilvl w:val="0"/>
          <w:numId w:val="13"/>
        </w:numPr>
        <w:pBdr/>
        <w:tabs>
          <w:tab w:val="left" w:leader="none" w:pos="284"/>
          <w:tab w:val="clear" w:leader="none" w:pos="720"/>
          <w:tab w:val="left" w:leader="none" w:pos="795"/>
        </w:tabs>
        <w:spacing w:after="0" w:before="0"/>
        <w:ind w:firstLine="0" w:left="0"/>
        <w:rPr>
          <w:rFonts w:eastAsia="Arial"/>
          <w:color w:val="000000"/>
          <w:sz w:val="24"/>
          <w:szCs w:val="24"/>
        </w:rPr>
      </w:pPr>
      <w:r>
        <w:rPr>
          <w:rFonts w:eastAsia="Arial"/>
          <w:color w:val="000000"/>
          <w:sz w:val="24"/>
          <w:szCs w:val="24"/>
        </w:rPr>
        <w:t xml:space="preserve">- sob as penas da lei, que tem condições de fornecer a quantidade estabelecida no prazo assinalado, independentemente dos demais compromissos de fornecimento porventura existentes, bem como que </w:t>
      </w:r>
      <w:r>
        <w:rPr>
          <w:rFonts w:eastAsia="Arial"/>
          <w:b/>
          <w:color w:val="000000"/>
          <w:sz w:val="24"/>
          <w:szCs w:val="24"/>
        </w:rPr>
        <w:t xml:space="preserve">fornecerá o material de acordo com as especificações técnicas (Anexo I do Edital)</w:t>
      </w:r>
      <w:r>
        <w:rPr>
          <w:rFonts w:eastAsia="Arial"/>
          <w:color w:val="000000"/>
          <w:sz w:val="24"/>
          <w:szCs w:val="24"/>
        </w:rPr>
        <w:t xml:space="preserve">, respeitando as condições de embalagens, prazos de validade, requisitos específicos, enfim todas as especificações;</w:t>
      </w:r>
      <w:r>
        <w:rPr>
          <w:rFonts w:eastAsia="Arial"/>
          <w:color w:val="000000"/>
          <w:sz w:val="24"/>
          <w:szCs w:val="24"/>
        </w:rPr>
      </w:r>
    </w:p>
    <w:p>
      <w:pPr>
        <w:pStyle w:val="1056"/>
        <w:widowControl w:val="false"/>
        <w:pBdr/>
        <w:tabs>
          <w:tab w:val="left" w:leader="none" w:pos="284"/>
          <w:tab w:val="clear" w:leader="none" w:pos="720"/>
          <w:tab w:val="left" w:leader="none" w:pos="795"/>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widowControl w:val="false"/>
        <w:numPr>
          <w:ilvl w:val="0"/>
          <w:numId w:val="13"/>
        </w:numPr>
        <w:pBdr/>
        <w:tabs>
          <w:tab w:val="left" w:leader="none" w:pos="284"/>
          <w:tab w:val="clear" w:leader="none" w:pos="720"/>
          <w:tab w:val="left" w:leader="none" w:pos="795"/>
        </w:tabs>
        <w:spacing w:after="0" w:before="0"/>
        <w:ind w:firstLine="0" w:left="0"/>
        <w:rPr>
          <w:rFonts w:eastAsia="Arial"/>
          <w:color w:val="000000"/>
          <w:sz w:val="24"/>
          <w:szCs w:val="24"/>
        </w:rPr>
      </w:pPr>
      <w:r>
        <w:rPr>
          <w:rFonts w:eastAsia="Arial"/>
          <w:color w:val="000000"/>
          <w:sz w:val="24"/>
          <w:szCs w:val="24"/>
        </w:rPr>
        <w:t xml:space="preserve">- até a presente data </w:t>
      </w:r>
      <w:r>
        <w:rPr>
          <w:rFonts w:eastAsia="Arial"/>
          <w:b/>
          <w:color w:val="000000"/>
          <w:sz w:val="24"/>
          <w:szCs w:val="24"/>
        </w:rPr>
        <w:t xml:space="preserve">INEXISTEM FATOS SUPERVENIENTES</w:t>
      </w:r>
      <w:r>
        <w:rPr>
          <w:rFonts w:eastAsia="Arial"/>
          <w:color w:val="000000"/>
          <w:sz w:val="24"/>
          <w:szCs w:val="24"/>
        </w:rPr>
        <w:t xml:space="preserve"> impeditivos para habilitação no presente processo licitatório, estando ciente da obrigatoriedade de declarar ocorrências posteriores;</w:t>
      </w:r>
      <w:r>
        <w:rPr>
          <w:rFonts w:eastAsia="Arial"/>
          <w:color w:val="000000"/>
          <w:sz w:val="24"/>
          <w:szCs w:val="24"/>
        </w:rPr>
      </w:r>
    </w:p>
    <w:p>
      <w:pPr>
        <w:pStyle w:val="1056"/>
        <w:widowControl w:val="false"/>
        <w:pBdr/>
        <w:tabs>
          <w:tab w:val="clear" w:leader="none" w:pos="720"/>
          <w:tab w:val="left" w:leader="none" w:pos="795"/>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widowControl w:val="false"/>
        <w:numPr>
          <w:ilvl w:val="0"/>
          <w:numId w:val="13"/>
        </w:numPr>
        <w:pBdr/>
        <w:tabs>
          <w:tab w:val="left" w:leader="none" w:pos="284"/>
          <w:tab w:val="clear" w:leader="none" w:pos="720"/>
          <w:tab w:val="left" w:leader="none" w:pos="855"/>
        </w:tabs>
        <w:spacing w:after="0" w:before="0"/>
        <w:ind w:firstLine="0" w:left="0"/>
        <w:rPr>
          <w:rFonts w:eastAsia="Arial"/>
          <w:color w:val="000000"/>
          <w:sz w:val="24"/>
          <w:szCs w:val="24"/>
        </w:rPr>
      </w:pPr>
      <w:r>
        <w:rPr>
          <w:rFonts w:eastAsia="Arial"/>
          <w:color w:val="000000"/>
          <w:sz w:val="24"/>
          <w:szCs w:val="24"/>
        </w:rPr>
        <w:t xml:space="preserve">- </w:t>
      </w:r>
      <w:r>
        <w:rPr>
          <w:rFonts w:eastAsia="Arial"/>
          <w:b/>
          <w:color w:val="000000"/>
          <w:sz w:val="24"/>
          <w:szCs w:val="24"/>
        </w:rPr>
        <w:t xml:space="preserve">não FOI DECLARADA INIDÔNEA</w:t>
      </w:r>
      <w:r>
        <w:rPr>
          <w:rFonts w:eastAsia="Arial"/>
          <w:color w:val="000000"/>
          <w:sz w:val="24"/>
          <w:szCs w:val="24"/>
        </w:rPr>
        <w:t xml:space="preserve"> por nenhum órgão público de qualquer esfera de governo, estando apta a contratar com o poder público;</w:t>
      </w:r>
      <w:r>
        <w:rPr>
          <w:rFonts w:eastAsia="Arial"/>
          <w:color w:val="000000"/>
          <w:sz w:val="24"/>
          <w:szCs w:val="24"/>
        </w:rPr>
      </w:r>
    </w:p>
    <w:p>
      <w:pPr>
        <w:pStyle w:val="1056"/>
        <w:pBdr/>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widowControl w:val="false"/>
        <w:numPr>
          <w:ilvl w:val="0"/>
          <w:numId w:val="13"/>
        </w:numPr>
        <w:pBdr/>
        <w:tabs>
          <w:tab w:val="left" w:leader="none" w:pos="284"/>
          <w:tab w:val="clear" w:leader="none" w:pos="720"/>
          <w:tab w:val="left" w:leader="none" w:pos="881"/>
        </w:tabs>
        <w:spacing w:after="0" w:before="0"/>
        <w:ind w:firstLine="0" w:left="0"/>
        <w:rPr>
          <w:rFonts w:eastAsia="Arial"/>
          <w:color w:val="000000"/>
          <w:sz w:val="24"/>
          <w:szCs w:val="24"/>
        </w:rPr>
      </w:pPr>
      <w:r>
        <w:rPr>
          <w:rFonts w:eastAsia="Arial"/>
          <w:color w:val="000000"/>
          <w:sz w:val="24"/>
          <w:szCs w:val="24"/>
        </w:rPr>
        <w:t xml:space="preserve">- Para cumprimento do disposto no inciso XXXIII do art. 7º da Constituição Federal, </w:t>
      </w:r>
      <w:r>
        <w:rPr>
          <w:rFonts w:eastAsia="Arial"/>
          <w:b/>
          <w:color w:val="000000"/>
          <w:sz w:val="24"/>
          <w:szCs w:val="24"/>
        </w:rPr>
        <w:t xml:space="preserve">NÃO EMPREGAMOS MENORES DE DEZOITO ANOS EM TRABALHO NOTURNO</w:t>
      </w:r>
      <w:r>
        <w:rPr>
          <w:rFonts w:eastAsia="Arial"/>
          <w:color w:val="000000"/>
          <w:sz w:val="24"/>
          <w:szCs w:val="24"/>
        </w:rPr>
        <w:t xml:space="preserve">, </w:t>
      </w:r>
      <w:r>
        <w:rPr>
          <w:rFonts w:eastAsia="Arial"/>
          <w:b/>
          <w:color w:val="000000"/>
          <w:sz w:val="24"/>
          <w:szCs w:val="24"/>
        </w:rPr>
        <w:t xml:space="preserve">PERIGOSO OU INSALUBRE</w:t>
      </w:r>
      <w:r>
        <w:rPr>
          <w:rFonts w:eastAsia="Arial"/>
          <w:color w:val="000000"/>
          <w:sz w:val="24"/>
          <w:szCs w:val="24"/>
        </w:rPr>
        <w:t xml:space="preserve"> E NEM </w:t>
      </w:r>
      <w:r>
        <w:rPr>
          <w:rFonts w:eastAsia="Arial"/>
          <w:b/>
          <w:color w:val="000000"/>
          <w:sz w:val="24"/>
          <w:szCs w:val="24"/>
        </w:rPr>
        <w:t xml:space="preserve">MENORES DE DEZESSEIS ANOS, EM QUALQUER TRABALHO, SALVO NA CONDIÇÃO DE APRENDIZ</w:t>
      </w:r>
      <w:r>
        <w:rPr>
          <w:rFonts w:eastAsia="Arial"/>
          <w:color w:val="000000"/>
          <w:sz w:val="24"/>
          <w:szCs w:val="24"/>
        </w:rPr>
        <w:t xml:space="preserve">, a partir dos quatorze anos de idade, acrescida pela Lei nº 9.854/99;</w:t>
      </w:r>
      <w:r>
        <w:rPr>
          <w:rFonts w:eastAsia="Arial"/>
          <w:color w:val="000000"/>
          <w:sz w:val="24"/>
          <w:szCs w:val="24"/>
        </w:rPr>
      </w:r>
    </w:p>
    <w:p>
      <w:pPr>
        <w:pStyle w:val="1056"/>
        <w:pBdr/>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widowControl w:val="false"/>
        <w:numPr>
          <w:ilvl w:val="0"/>
          <w:numId w:val="13"/>
        </w:numPr>
        <w:pBdr/>
        <w:tabs>
          <w:tab w:val="left" w:leader="none" w:pos="284"/>
          <w:tab w:val="left" w:leader="none" w:pos="426"/>
          <w:tab w:val="clear" w:leader="none" w:pos="720"/>
          <w:tab w:val="left" w:leader="none" w:pos="1092"/>
        </w:tabs>
        <w:spacing w:after="0" w:before="0"/>
        <w:ind w:firstLine="0" w:left="0"/>
        <w:rPr>
          <w:rFonts w:eastAsia="Arial"/>
          <w:color w:val="000000"/>
          <w:sz w:val="24"/>
          <w:szCs w:val="24"/>
        </w:rPr>
      </w:pPr>
      <w:r>
        <w:rPr>
          <w:rFonts w:eastAsia="Arial"/>
          <w:color w:val="000000"/>
          <w:sz w:val="24"/>
          <w:szCs w:val="24"/>
        </w:rPr>
        <w:t xml:space="preserve">- comprometo-me a </w:t>
      </w:r>
      <w:r>
        <w:rPr>
          <w:rFonts w:eastAsia="Arial"/>
          <w:b/>
          <w:color w:val="000000"/>
          <w:sz w:val="24"/>
          <w:szCs w:val="24"/>
        </w:rPr>
        <w:t xml:space="preserve">manter</w:t>
      </w:r>
      <w:r>
        <w:rPr>
          <w:rFonts w:eastAsia="Arial"/>
          <w:color w:val="000000"/>
          <w:sz w:val="24"/>
          <w:szCs w:val="24"/>
        </w:rPr>
        <w:t xml:space="preserve"> durante a execução da ATA DE REGISTRO DE PREÇOS, em compatibilidade com as obrigações assumidas, </w:t>
      </w:r>
      <w:r>
        <w:rPr>
          <w:rFonts w:eastAsia="Arial"/>
          <w:b/>
          <w:color w:val="000000"/>
          <w:sz w:val="24"/>
          <w:szCs w:val="24"/>
        </w:rPr>
        <w:t xml:space="preserve">TODAS AS CONDIÇÕES DE HABILITAÇÃO E QUALIFICAÇÃO</w:t>
      </w:r>
      <w:r>
        <w:rPr>
          <w:rFonts w:eastAsia="Arial"/>
          <w:color w:val="000000"/>
          <w:sz w:val="24"/>
          <w:szCs w:val="24"/>
        </w:rPr>
        <w:t xml:space="preserve"> exigidas na licitação;</w:t>
      </w:r>
      <w:r>
        <w:rPr>
          <w:rFonts w:eastAsia="Arial"/>
          <w:color w:val="000000"/>
          <w:sz w:val="24"/>
          <w:szCs w:val="24"/>
        </w:rPr>
      </w:r>
    </w:p>
    <w:p>
      <w:pPr>
        <w:pStyle w:val="1056"/>
        <w:widowControl w:val="false"/>
        <w:pBdr/>
        <w:tabs>
          <w:tab w:val="clear" w:leader="none" w:pos="720"/>
          <w:tab w:val="left" w:leader="none" w:pos="1092"/>
        </w:tabs>
        <w:spacing w:after="120" w:before="21"/>
        <w:ind/>
        <w:rPr>
          <w:rFonts w:eastAsia="Arial"/>
          <w:color w:val="000000"/>
          <w:sz w:val="24"/>
          <w:szCs w:val="24"/>
        </w:rPr>
      </w:pPr>
      <w:r>
        <w:rPr>
          <w:rFonts w:eastAsia="Arial"/>
          <w:color w:val="000000"/>
          <w:sz w:val="24"/>
          <w:szCs w:val="24"/>
        </w:rPr>
      </w:r>
      <w:r>
        <w:rPr>
          <w:rFonts w:eastAsia="Arial"/>
          <w:color w:val="000000"/>
          <w:sz w:val="24"/>
          <w:szCs w:val="24"/>
        </w:rPr>
      </w:r>
    </w:p>
    <w:p>
      <w:pPr>
        <w:pStyle w:val="1056"/>
        <w:widowControl w:val="false"/>
        <w:pBdr/>
        <w:tabs>
          <w:tab w:val="clear" w:leader="none" w:pos="720"/>
          <w:tab w:val="left" w:leader="none" w:pos="1092"/>
        </w:tabs>
        <w:spacing w:after="120" w:before="21"/>
        <w:ind/>
        <w:rPr>
          <w:rFonts w:eastAsia="Arial"/>
          <w:color w:val="000000"/>
          <w:sz w:val="24"/>
          <w:szCs w:val="24"/>
        </w:rPr>
      </w:pPr>
      <w:r>
        <w:rPr>
          <w:rFonts w:eastAsia="Arial"/>
          <w:b/>
          <w:color w:val="000000"/>
          <w:sz w:val="24"/>
          <w:szCs w:val="24"/>
        </w:rPr>
        <w:t xml:space="preserve">IX</w:t>
      </w:r>
      <w:r>
        <w:rPr>
          <w:rFonts w:eastAsia="Arial"/>
          <w:color w:val="000000"/>
          <w:sz w:val="24"/>
          <w:szCs w:val="24"/>
        </w:rPr>
        <w:t xml:space="preserve"> - </w:t>
      </w:r>
      <w:r>
        <w:rPr>
          <w:rFonts w:eastAsia="Arial"/>
          <w:b/>
          <w:color w:val="000000"/>
          <w:sz w:val="24"/>
          <w:szCs w:val="24"/>
        </w:rPr>
        <w:t xml:space="preserve">não POSSUÍMOS POSSUO MATRIMÔNIO OU PARENTESCO, A FIM OU CONSANGUÍNEO, ATÉ O SEGUNDO GRAU, OU POR ADOÇÃO</w:t>
      </w:r>
      <w:r>
        <w:rPr>
          <w:rFonts w:eastAsia="Arial"/>
          <w:color w:val="000000"/>
          <w:sz w:val="24"/>
          <w:szCs w:val="24"/>
        </w:rPr>
        <w:t xml:space="preserve">, com o Prefeito, o Vice-Prefeito, os Vereadores e os Servidores Municipais de Rio das Flôres, bem como as pessoas ligadas a qualquer deles, em conformidade com o art. 104, Lei Orgânica do Município de Rio das Flôres, no presente proc</w:t>
      </w:r>
      <w:r>
        <w:rPr>
          <w:rFonts w:eastAsia="Arial"/>
          <w:color w:val="000000"/>
          <w:sz w:val="24"/>
          <w:szCs w:val="24"/>
        </w:rPr>
        <w:t xml:space="preserve">esso licitatório, estando ciente da obrigatoriedade de declarar ocorrências posteriores. Declara, ademais, que não possui em seu quadro societário servidor público da ativa, ou empregado de empresa pública, ou de sociedade mista, com esse órgão celebrante;</w:t>
      </w:r>
      <w:r>
        <w:rPr>
          <w:rFonts w:eastAsia="Arial"/>
          <w:color w:val="000000"/>
          <w:sz w:val="24"/>
          <w:szCs w:val="24"/>
        </w:rPr>
      </w:r>
    </w:p>
    <w:p>
      <w:pPr>
        <w:pStyle w:val="1056"/>
        <w:widowControl w:val="false"/>
        <w:pBdr/>
        <w:tabs>
          <w:tab w:val="clear" w:leader="none" w:pos="720"/>
          <w:tab w:val="left" w:leader="none" w:pos="1092"/>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widowControl w:val="false"/>
        <w:pBdr/>
        <w:tabs>
          <w:tab w:val="clear" w:leader="none" w:pos="720"/>
          <w:tab w:val="left" w:leader="none" w:pos="1092"/>
        </w:tabs>
        <w:spacing w:after="120" w:before="21"/>
        <w:ind/>
        <w:rPr>
          <w:rFonts w:eastAsia="Arial"/>
          <w:color w:val="000000"/>
          <w:sz w:val="24"/>
          <w:szCs w:val="24"/>
        </w:rPr>
      </w:pPr>
      <w:r>
        <w:rPr>
          <w:rFonts w:eastAsia="Arial"/>
          <w:b/>
          <w:color w:val="000000"/>
          <w:sz w:val="24"/>
          <w:szCs w:val="24"/>
        </w:rPr>
        <w:t xml:space="preserve">X</w:t>
      </w:r>
      <w:r>
        <w:rPr>
          <w:rFonts w:eastAsia="Arial"/>
          <w:color w:val="000000"/>
          <w:sz w:val="24"/>
          <w:szCs w:val="24"/>
        </w:rPr>
        <w:t xml:space="preserve"> - </w:t>
      </w:r>
      <w:r>
        <w:rPr>
          <w:rFonts w:eastAsia="Arial"/>
          <w:b/>
          <w:color w:val="000000"/>
          <w:sz w:val="24"/>
          <w:szCs w:val="24"/>
        </w:rPr>
        <w:t xml:space="preserve">não POSSUÍMOS, EM NOSSA CADEIA PRODUTIVA, EMPREGADOS EXECUTANDO TRABALHO DEGRADANTE OU FORÇADO</w:t>
      </w:r>
      <w:r>
        <w:rPr>
          <w:rFonts w:eastAsia="Arial"/>
          <w:color w:val="000000"/>
          <w:sz w:val="24"/>
          <w:szCs w:val="24"/>
        </w:rPr>
        <w:t xml:space="preserve">, observando o disposto nos incisos III e IV do art. 1º e no inciso III do art. 5º da Constituição Federal;</w:t>
      </w:r>
      <w:r>
        <w:rPr>
          <w:rFonts w:eastAsia="Arial"/>
          <w:color w:val="000000"/>
          <w:sz w:val="24"/>
          <w:szCs w:val="24"/>
        </w:rPr>
      </w:r>
    </w:p>
    <w:p>
      <w:pPr>
        <w:pStyle w:val="1056"/>
        <w:widowControl w:val="false"/>
        <w:pBdr/>
        <w:tabs>
          <w:tab w:val="clear" w:leader="none" w:pos="720"/>
          <w:tab w:val="left" w:leader="none" w:pos="1092"/>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widowControl w:val="false"/>
        <w:pBdr/>
        <w:tabs>
          <w:tab w:val="clear" w:leader="none" w:pos="720"/>
          <w:tab w:val="left" w:leader="none" w:pos="1092"/>
        </w:tabs>
        <w:spacing w:after="120" w:before="21"/>
        <w:ind/>
        <w:rPr>
          <w:rFonts w:eastAsia="Arial"/>
          <w:color w:val="000000"/>
          <w:sz w:val="24"/>
          <w:szCs w:val="24"/>
        </w:rPr>
      </w:pPr>
      <w:r>
        <w:rPr>
          <w:rFonts w:eastAsia="Arial"/>
          <w:b/>
          <w:color w:val="000000"/>
          <w:sz w:val="24"/>
          <w:szCs w:val="24"/>
        </w:rPr>
        <w:t xml:space="preserve">XI</w:t>
      </w:r>
      <w:r>
        <w:rPr>
          <w:rFonts w:eastAsia="Arial"/>
          <w:color w:val="000000"/>
          <w:sz w:val="24"/>
          <w:szCs w:val="24"/>
        </w:rPr>
        <w:t xml:space="preserve"> - </w:t>
      </w:r>
      <w:r>
        <w:rPr>
          <w:rFonts w:eastAsia="Arial"/>
          <w:b/>
          <w:color w:val="000000"/>
          <w:sz w:val="24"/>
          <w:szCs w:val="24"/>
        </w:rPr>
        <w:t xml:space="preserve">cumpro O ART. 93 DA LEI FEDERAL Nº 8.213/91 QUE PREVÊ A PROIBIÇÃO DE QUALQUER ATO DISCRIMINATÓRIO NO TOCANTE A SALÁRIO OU CRITÉRIO DE ADMISSÃO DO EMPREGO EM VIRTUDE DE PORTAR DEFICIÊNCIA</w:t>
      </w:r>
      <w:r>
        <w:rPr>
          <w:rFonts w:eastAsia="Arial"/>
          <w:color w:val="000000"/>
          <w:sz w:val="24"/>
          <w:szCs w:val="24"/>
        </w:rPr>
        <w:t xml:space="preserve">, e, ainda, a empresa (licitante) com 100 (cem) ou mais empregados está obrigada a preencher de 2%(dois porcento) a 5%(cinco por cento) dos seus cargos com beneficiários reabilitados ou pessoas portadoras de deficiência, habilitadas;</w:t>
      </w:r>
      <w:r>
        <w:rPr>
          <w:rFonts w:eastAsia="Arial"/>
          <w:color w:val="000000"/>
          <w:sz w:val="24"/>
          <w:szCs w:val="24"/>
        </w:rPr>
      </w:r>
    </w:p>
    <w:p>
      <w:pPr>
        <w:pStyle w:val="1056"/>
        <w:widowControl w:val="false"/>
        <w:pBdr/>
        <w:tabs>
          <w:tab w:val="clear" w:leader="none" w:pos="720"/>
          <w:tab w:val="left" w:leader="none" w:pos="1092"/>
        </w:tabs>
        <w:spacing w:after="120" w:before="21"/>
        <w:ind/>
        <w:rPr>
          <w:rFonts w:eastAsia="Arial"/>
          <w:color w:val="000000"/>
          <w:sz w:val="24"/>
          <w:szCs w:val="24"/>
        </w:rPr>
      </w:pPr>
      <w:r>
        <w:rPr>
          <w:rFonts w:eastAsia="Arial"/>
          <w:b/>
          <w:color w:val="000000"/>
          <w:sz w:val="24"/>
          <w:szCs w:val="24"/>
        </w:rPr>
        <w:t xml:space="preserve">XII- </w:t>
      </w:r>
      <w:r>
        <w:rPr>
          <w:rFonts w:eastAsia="Arial"/>
          <w:color w:val="000000"/>
          <w:sz w:val="24"/>
          <w:szCs w:val="24"/>
        </w:rPr>
        <w:t xml:space="preserve">cumpre as exigências de reserva de cargos para pessoa com deficiência e para reabilitado da Previdência Social, previstas em lei e em outras normas específicas</w:t>
      </w:r>
      <w:r>
        <w:rPr>
          <w:rFonts w:eastAsia="Arial"/>
          <w:color w:val="000000"/>
          <w:sz w:val="24"/>
          <w:szCs w:val="24"/>
        </w:rPr>
      </w:r>
    </w:p>
    <w:p>
      <w:pPr>
        <w:pStyle w:val="1056"/>
        <w:widowControl w:val="false"/>
        <w:pBdr/>
        <w:tabs>
          <w:tab w:val="clear" w:leader="none" w:pos="720"/>
          <w:tab w:val="left" w:leader="none" w:pos="1092"/>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widowControl w:val="false"/>
        <w:pBdr/>
        <w:tabs>
          <w:tab w:val="clear" w:leader="none" w:pos="720"/>
          <w:tab w:val="left" w:leader="none" w:pos="1092"/>
        </w:tabs>
        <w:spacing w:after="120" w:before="21"/>
        <w:ind/>
        <w:rPr>
          <w:rFonts w:eastAsia="Arial"/>
          <w:color w:val="000000"/>
          <w:sz w:val="24"/>
          <w:szCs w:val="24"/>
        </w:rPr>
      </w:pPr>
      <w:r>
        <w:rPr>
          <w:rFonts w:eastAsia="Arial"/>
          <w:b/>
          <w:color w:val="000000"/>
          <w:sz w:val="24"/>
          <w:szCs w:val="24"/>
        </w:rPr>
        <w:t xml:space="preserve">XIII-</w:t>
      </w:r>
      <w:r>
        <w:rPr>
          <w:rFonts w:eastAsia="Arial"/>
          <w:color w:val="000000"/>
          <w:sz w:val="24"/>
          <w:szCs w:val="24"/>
        </w:rPr>
        <w:t xml:space="preserve"> sob as sanções administrativas cabíveis, inclusive as criminais, e sob as penas da lei, que </w:t>
      </w:r>
      <w:r>
        <w:rPr>
          <w:rFonts w:eastAsia="Arial"/>
          <w:b/>
          <w:color w:val="000000"/>
          <w:sz w:val="24"/>
          <w:szCs w:val="24"/>
        </w:rPr>
        <w:t xml:space="preserve">TODA DOCUMENTAÇÃO ANEXADA AO SISTEMA SÃO AUTÊNTICAS</w:t>
      </w:r>
      <w:r>
        <w:rPr>
          <w:rFonts w:eastAsia="Arial"/>
          <w:color w:val="000000"/>
          <w:sz w:val="24"/>
          <w:szCs w:val="24"/>
        </w:rPr>
        <w:t xml:space="preserve">, igualmente sendo expressão da verdade a informação por mim prestada, estou ciente que esta declaração estará sujeita as penalidades da Lei, conforme dispõe o art. 299 do Código Penal Brasileiro, que prevê o crime de falsidade ideológica;</w:t>
      </w:r>
      <w:r>
        <w:rPr>
          <w:rFonts w:eastAsia="Arial"/>
          <w:color w:val="000000"/>
          <w:sz w:val="24"/>
          <w:szCs w:val="24"/>
        </w:rPr>
      </w:r>
    </w:p>
    <w:p>
      <w:pPr>
        <w:pStyle w:val="1056"/>
        <w:widowControl w:val="false"/>
        <w:pBdr/>
        <w:tabs>
          <w:tab w:val="clear" w:leader="none" w:pos="720"/>
          <w:tab w:val="left" w:leader="none" w:pos="1092"/>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widowControl w:val="false"/>
        <w:pBdr/>
        <w:tabs>
          <w:tab w:val="clear" w:leader="none" w:pos="720"/>
          <w:tab w:val="left" w:leader="none" w:pos="1092"/>
        </w:tabs>
        <w:spacing w:after="120" w:before="21"/>
        <w:ind/>
        <w:rPr>
          <w:rFonts w:eastAsia="Arial"/>
          <w:color w:val="000000"/>
          <w:sz w:val="24"/>
          <w:szCs w:val="24"/>
        </w:rPr>
      </w:pPr>
      <w:r>
        <w:rPr>
          <w:rFonts w:eastAsia="Arial"/>
          <w:b/>
          <w:color w:val="000000"/>
          <w:sz w:val="24"/>
          <w:szCs w:val="24"/>
        </w:rPr>
        <w:t xml:space="preserve">XIV -</w:t>
      </w:r>
      <w:r>
        <w:rPr>
          <w:rFonts w:eastAsia="Arial"/>
          <w:color w:val="000000"/>
          <w:sz w:val="24"/>
          <w:szCs w:val="24"/>
        </w:rPr>
        <w:t xml:space="preserve"> sob as penas da Lei federal nº 6.938/1981, na qualidade de proponente do procedimento licitatório, sob a modalidade Pregão Eletrônico, instaurado pelo Processo Administrativo, que </w:t>
      </w:r>
      <w:r>
        <w:rPr>
          <w:rFonts w:eastAsia="Arial"/>
          <w:b/>
          <w:color w:val="000000"/>
          <w:sz w:val="24"/>
          <w:szCs w:val="24"/>
        </w:rPr>
        <w:t xml:space="preserve">ATENDEMOS AOS CRITÉRIOS DE QUALIDADE AMBIENTAL E SUSTENTABILIDADE SOCIOAMBIENTAL, RESPEITANDO AS NORMAS DE PROTEÇÃO DO MEIO AMBIENTE</w:t>
      </w:r>
      <w:r>
        <w:rPr>
          <w:rFonts w:eastAsia="Arial"/>
          <w:color w:val="000000"/>
          <w:sz w:val="24"/>
          <w:szCs w:val="24"/>
        </w:rPr>
        <w:t xml:space="preserve">;</w:t>
      </w:r>
      <w:r>
        <w:rPr>
          <w:rFonts w:eastAsia="Arial"/>
          <w:color w:val="000000"/>
          <w:sz w:val="24"/>
          <w:szCs w:val="24"/>
        </w:rPr>
      </w:r>
    </w:p>
    <w:p>
      <w:pPr>
        <w:pStyle w:val="1056"/>
        <w:widowControl w:val="false"/>
        <w:pBdr/>
        <w:tabs>
          <w:tab w:val="clear" w:leader="none" w:pos="720"/>
          <w:tab w:val="left" w:leader="none" w:pos="1092"/>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widowControl w:val="false"/>
        <w:pBdr/>
        <w:tabs>
          <w:tab w:val="clear" w:leader="none" w:pos="720"/>
          <w:tab w:val="left" w:leader="none" w:pos="1092"/>
        </w:tabs>
        <w:spacing w:after="120" w:before="21"/>
        <w:ind/>
        <w:rPr>
          <w:rFonts w:eastAsia="Arial"/>
          <w:color w:val="000000"/>
          <w:sz w:val="24"/>
          <w:szCs w:val="24"/>
        </w:rPr>
      </w:pPr>
      <w:r>
        <w:rPr>
          <w:rFonts w:eastAsia="Arial"/>
          <w:b/>
          <w:color w:val="000000"/>
          <w:sz w:val="24"/>
          <w:szCs w:val="24"/>
        </w:rPr>
        <w:t xml:space="preserve">XV -</w:t>
      </w:r>
      <w:r>
        <w:rPr>
          <w:rFonts w:eastAsia="Arial"/>
          <w:color w:val="000000"/>
          <w:sz w:val="24"/>
          <w:szCs w:val="24"/>
        </w:rPr>
        <w:t xml:space="preserve"> estou ciente da obrigatoriedade da apresentação das declarações e certidões pertinentes dos órgãos competentes quando solicitadas como requisito para habilitação e da obrigatoriedade do cumprimento integra</w:t>
      </w:r>
      <w:r>
        <w:rPr>
          <w:rFonts w:eastAsia="Arial"/>
          <w:color w:val="000000"/>
          <w:sz w:val="24"/>
          <w:szCs w:val="24"/>
        </w:rPr>
        <w:t xml:space="preserve">l ao que estabelece o art. 6º e seus incisos, da Instrução Normativa nº 01, de 19 de janeiro de 2010, do Ministério do Planejamento, Orçamento e Gestão – MPOG e Decreto nº 7.746 de 5 de junho de 2012, que estabelece critérios, práticas e diretrizes para a </w:t>
      </w:r>
      <w:r>
        <w:rPr>
          <w:rFonts w:eastAsia="Arial"/>
          <w:b/>
          <w:color w:val="000000"/>
          <w:sz w:val="24"/>
          <w:szCs w:val="24"/>
        </w:rPr>
        <w:t xml:space="preserve">promoção do desenvolvimento nacional sustentável</w:t>
      </w:r>
      <w:r>
        <w:rPr>
          <w:rFonts w:eastAsia="Arial"/>
          <w:color w:val="000000"/>
          <w:sz w:val="24"/>
          <w:szCs w:val="24"/>
        </w:rPr>
        <w:t xml:space="preserve">;</w:t>
      </w:r>
      <w:r>
        <w:rPr>
          <w:rFonts w:eastAsia="Arial"/>
          <w:color w:val="000000"/>
          <w:sz w:val="24"/>
          <w:szCs w:val="24"/>
        </w:rPr>
      </w:r>
    </w:p>
    <w:p>
      <w:pPr>
        <w:pStyle w:val="1056"/>
        <w:widowControl w:val="false"/>
        <w:pBdr/>
        <w:tabs>
          <w:tab w:val="clear" w:leader="none" w:pos="720"/>
          <w:tab w:val="left" w:leader="none" w:pos="1092"/>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p>
    <w:p>
      <w:pPr>
        <w:pStyle w:val="1056"/>
        <w:widowControl w:val="false"/>
        <w:pBdr/>
        <w:tabs>
          <w:tab w:val="clear" w:leader="none" w:pos="720"/>
          <w:tab w:val="left" w:leader="none" w:pos="1092"/>
        </w:tabs>
        <w:spacing w:after="120" w:before="21"/>
        <w:ind/>
        <w:rPr>
          <w:rFonts w:eastAsia="Arial"/>
          <w:color w:val="000000"/>
          <w:sz w:val="24"/>
          <w:szCs w:val="24"/>
        </w:rPr>
      </w:pPr>
      <w:r>
        <w:rPr>
          <w:rFonts w:eastAsia="Arial"/>
          <w:b/>
          <w:color w:val="000000"/>
          <w:sz w:val="24"/>
          <w:szCs w:val="24"/>
        </w:rPr>
        <w:t xml:space="preserve">XVI -</w:t>
      </w:r>
      <w:r>
        <w:rPr>
          <w:rFonts w:eastAsia="Arial"/>
          <w:color w:val="000000"/>
          <w:sz w:val="24"/>
          <w:szCs w:val="24"/>
        </w:rPr>
        <w:t xml:space="preserve"> estou ciente da obrigatoriedade da apresentação do registro no </w:t>
      </w:r>
      <w:r>
        <w:rPr>
          <w:rFonts w:eastAsia="Arial"/>
          <w:b/>
          <w:color w:val="000000"/>
          <w:sz w:val="24"/>
          <w:szCs w:val="24"/>
        </w:rPr>
        <w:t xml:space="preserve">CADASTRO TÉCNICO FEDERAL DE ATIVIDADES POTENCIALMENTE POLUIDORAS OU UTILIZADORAS DE RECURSOS AMBIENTAIS</w:t>
      </w:r>
      <w:r>
        <w:rPr>
          <w:rFonts w:eastAsia="Arial"/>
          <w:color w:val="000000"/>
          <w:sz w:val="24"/>
          <w:szCs w:val="24"/>
        </w:rPr>
        <w:t xml:space="preserve"> caso minha empresa exerça uma das atividades constantes no Anexo II da Instrução Normativa nº 31, de 03 de dezembro de 2009, do IBAMA;</w:t>
      </w:r>
      <w:r>
        <w:rPr>
          <w:rFonts w:eastAsia="Arial"/>
          <w:color w:val="000000"/>
          <w:sz w:val="24"/>
          <w:szCs w:val="24"/>
        </w:rPr>
      </w:r>
    </w:p>
    <w:p>
      <w:pPr>
        <w:pStyle w:val="1056"/>
        <w:widowControl w:val="false"/>
        <w:pBdr/>
        <w:tabs>
          <w:tab w:val="clear" w:leader="none" w:pos="720"/>
          <w:tab w:val="left" w:leader="none" w:pos="1092"/>
        </w:tabs>
        <w:spacing w:after="0" w:before="0"/>
        <w:ind/>
        <w:rPr>
          <w:rFonts w:eastAsia="Arial"/>
          <w:b/>
          <w:color w:val="000000"/>
          <w:sz w:val="24"/>
          <w:szCs w:val="24"/>
        </w:rPr>
      </w:pPr>
      <w:r>
        <w:rPr>
          <w:rFonts w:eastAsia="Arial"/>
          <w:b/>
          <w:color w:val="000000"/>
          <w:sz w:val="24"/>
          <w:szCs w:val="24"/>
        </w:rPr>
      </w:r>
      <w:r>
        <w:rPr>
          <w:rFonts w:eastAsia="Arial"/>
          <w:b/>
          <w:color w:val="000000"/>
          <w:sz w:val="24"/>
          <w:szCs w:val="24"/>
        </w:rPr>
      </w:r>
    </w:p>
    <w:p>
      <w:pPr>
        <w:pStyle w:val="1056"/>
        <w:pBdr/>
        <w:spacing w:after="120" w:before="101"/>
        <w:ind/>
        <w:rPr>
          <w:b/>
          <w:sz w:val="24"/>
          <w:szCs w:val="24"/>
        </w:rPr>
      </w:pPr>
      <w:r>
        <w:rPr>
          <w:b/>
          <w:sz w:val="24"/>
          <w:szCs w:val="24"/>
        </w:rPr>
        <w:t xml:space="preserve">XVII – </w:t>
      </w:r>
      <w:r>
        <w:rPr>
          <w:sz w:val="24"/>
          <w:szCs w:val="24"/>
        </w:rPr>
        <w:t xml:space="preserve">que nos 5 (cinco) anos anteriores à divulgaç</w:t>
      </w:r>
      <w:r>
        <w:rPr>
          <w:sz w:val="24"/>
          <w:szCs w:val="24"/>
        </w:rPr>
        <w:t xml:space="preserve">ão do edital, não foi condenada judicialmente, com trânsito em julgado, por exploração de trabalho infantil, por submissão de trabalhadores a condições análogas às de escravo ou por contratação de adolescentes nos casos vedados pela legislação trabalhista.</w:t>
      </w:r>
      <w:r>
        <w:rPr>
          <w:b/>
          <w:sz w:val="24"/>
          <w:szCs w:val="24"/>
        </w:rPr>
        <w:t xml:space="preserve">  </w:t>
      </w:r>
      <w:r>
        <w:rPr>
          <w:b/>
          <w:sz w:val="24"/>
          <w:szCs w:val="24"/>
        </w:rPr>
      </w:r>
    </w:p>
    <w:p>
      <w:pPr>
        <w:pStyle w:val="1056"/>
        <w:pBdr/>
        <w:spacing w:after="120" w:before="101"/>
        <w:ind/>
        <w:rPr>
          <w:b/>
          <w:sz w:val="24"/>
          <w:szCs w:val="24"/>
          <w:u w:val="single"/>
        </w:rPr>
      </w:pPr>
      <w:r>
        <w:rPr>
          <w:b/>
          <w:sz w:val="24"/>
          <w:szCs w:val="24"/>
          <w:u w:val="single"/>
        </w:rPr>
      </w:r>
      <w:r>
        <w:rPr>
          <w:b/>
          <w:sz w:val="24"/>
          <w:szCs w:val="24"/>
          <w:u w:val="single"/>
        </w:rPr>
      </w:r>
    </w:p>
    <w:p>
      <w:pPr>
        <w:pStyle w:val="1056"/>
        <w:pBdr/>
        <w:spacing w:after="120" w:before="101"/>
        <w:ind/>
        <w:rPr>
          <w:sz w:val="24"/>
          <w:szCs w:val="24"/>
        </w:rPr>
      </w:pPr>
      <w:r>
        <w:rPr>
          <w:b/>
          <w:sz w:val="24"/>
          <w:szCs w:val="24"/>
          <w:u w:val="single"/>
        </w:rPr>
        <w:t xml:space="preserve">XVIII - se</w:t>
      </w:r>
      <w:r>
        <w:rPr>
          <w:sz w:val="24"/>
          <w:szCs w:val="24"/>
          <w:u w:val="single"/>
        </w:rPr>
        <w:t xml:space="preserve"> </w:t>
      </w:r>
      <w:r>
        <w:rPr>
          <w:b/>
          <w:sz w:val="24"/>
          <w:szCs w:val="24"/>
          <w:u w:val="single"/>
        </w:rPr>
        <w:t xml:space="preserve">ENQUADRA NA SITUAÇÃO DE MICROEMPRESA, EMPRESA DE PEQUENO PORTE OU COOPERATIVA, NOS TERMOS DA LEI COMPLEMENTAR Nº 123/06, ALTERADA PELA LEI COMPLEMENTAR Nº 147/14</w:t>
      </w:r>
      <w:r>
        <w:rPr>
          <w:sz w:val="24"/>
          <w:szCs w:val="24"/>
        </w:rPr>
        <w:t xml:space="preserve">, sob as penas do artigo 299 do Código Penal bem assim que inexistem fatos supervenientes que conduzam ao seu desenquadramento desta situação.</w:t>
      </w:r>
      <w:r>
        <w:rPr>
          <w:sz w:val="24"/>
          <w:szCs w:val="24"/>
        </w:rPr>
      </w:r>
    </w:p>
    <w:p>
      <w:pPr>
        <w:pStyle w:val="1056"/>
        <w:widowControl w:val="false"/>
        <w:pBdr/>
        <w:tabs>
          <w:tab w:val="clear" w:leader="none" w:pos="720"/>
          <w:tab w:val="left" w:leader="none" w:pos="1092"/>
        </w:tabs>
        <w:spacing w:after="120" w:before="21"/>
        <w:ind/>
        <w:rPr>
          <w:rFonts w:eastAsia="Arial"/>
          <w:color w:val="000000"/>
          <w:sz w:val="24"/>
          <w:szCs w:val="24"/>
        </w:rPr>
      </w:pPr>
      <w:r>
        <w:rPr>
          <w:rFonts w:eastAsia="Arial"/>
          <w:b/>
          <w:color w:val="000000"/>
          <w:sz w:val="24"/>
          <w:szCs w:val="24"/>
        </w:rPr>
        <w:t xml:space="preserve">NOTA:</w:t>
      </w:r>
      <w:r>
        <w:rPr>
          <w:rFonts w:eastAsia="Arial"/>
          <w:color w:val="000000"/>
          <w:sz w:val="24"/>
          <w:szCs w:val="24"/>
        </w:rPr>
        <w:t xml:space="preserve"> </w:t>
      </w:r>
      <w:r>
        <w:rPr>
          <w:rFonts w:eastAsia="Arial"/>
          <w:b/>
          <w:color w:val="000000"/>
          <w:sz w:val="24"/>
          <w:szCs w:val="24"/>
          <w:u w:val="single"/>
        </w:rPr>
        <w:t xml:space="preserve">Manter o item XVII, caso se enquadre na situação de microempresa, empresa de</w:t>
      </w:r>
      <w:r>
        <w:rPr>
          <w:rFonts w:eastAsia="Arial"/>
          <w:b/>
          <w:color w:val="000000"/>
          <w:sz w:val="24"/>
          <w:szCs w:val="24"/>
        </w:rPr>
        <w:t xml:space="preserve"> </w:t>
      </w:r>
      <w:r>
        <w:rPr>
          <w:rFonts w:eastAsia="Arial"/>
          <w:b/>
          <w:color w:val="000000"/>
          <w:sz w:val="24"/>
          <w:szCs w:val="24"/>
          <w:u w:val="single"/>
        </w:rPr>
        <w:t xml:space="preserve">pequeno porte ou cooperativa.</w:t>
      </w:r>
      <w:r>
        <w:rPr>
          <w:rFonts w:eastAsia="Arial"/>
          <w:color w:val="000000"/>
          <w:sz w:val="24"/>
          <w:szCs w:val="24"/>
        </w:rPr>
      </w:r>
    </w:p>
    <w:p>
      <w:pPr>
        <w:pStyle w:val="1056"/>
        <w:widowControl w:val="false"/>
        <w:pBdr/>
        <w:tabs>
          <w:tab w:val="clear" w:leader="none" w:pos="720"/>
          <w:tab w:val="left" w:leader="none" w:pos="1092"/>
        </w:tabs>
        <w:spacing w:after="120" w:before="21"/>
        <w:ind w:right="111"/>
        <w:rPr>
          <w:rFonts w:eastAsia="Arial"/>
          <w:color w:val="000000"/>
          <w:sz w:val="24"/>
          <w:szCs w:val="24"/>
          <w:highlight w:val="none"/>
        </w:rPr>
      </w:pPr>
      <w:r>
        <w:rPr>
          <w:rFonts w:eastAsia="Arial"/>
          <w:color w:val="000000"/>
          <w:sz w:val="24"/>
          <w:szCs w:val="24"/>
        </w:rPr>
        <w:t xml:space="preserve">Por ser expressão da verdade, firmamos o presente.</w:t>
      </w:r>
      <w:r>
        <w:rPr>
          <w:rFonts w:eastAsia="Arial"/>
          <w:color w:val="000000"/>
          <w:sz w:val="24"/>
          <w:szCs w:val="24"/>
        </w:rPr>
      </w:r>
    </w:p>
    <w:p>
      <w:pPr>
        <w:pStyle w:val="1056"/>
        <w:widowControl w:val="false"/>
        <w:pBdr/>
        <w:tabs>
          <w:tab w:val="clear" w:leader="none" w:pos="720"/>
          <w:tab w:val="left" w:leader="none" w:pos="1092"/>
        </w:tabs>
        <w:spacing w:after="120" w:before="21"/>
        <w:ind w:right="111"/>
        <w:rPr>
          <w:rFonts w:eastAsia="Arial"/>
          <w:color w:val="000000"/>
          <w:sz w:val="24"/>
          <w:szCs w:val="24"/>
        </w:rPr>
      </w:pPr>
      <w:r>
        <w:rPr>
          <w:rFonts w:eastAsia="Arial"/>
          <w:color w:val="000000"/>
          <w:sz w:val="24"/>
          <w:szCs w:val="24"/>
          <w:highlight w:val="none"/>
        </w:rPr>
      </w:r>
      <w:r>
        <w:rPr>
          <w:rFonts w:eastAsia="Arial"/>
          <w:color w:val="000000"/>
          <w:sz w:val="24"/>
          <w:szCs w:val="24"/>
          <w:highlight w:val="none"/>
        </w:rPr>
      </w:r>
      <w:r>
        <w:rPr>
          <w:rFonts w:eastAsia="Arial"/>
          <w:color w:val="000000"/>
          <w:sz w:val="24"/>
          <w:szCs w:val="24"/>
          <w:highlight w:val="none"/>
        </w:rPr>
      </w:r>
    </w:p>
    <w:p>
      <w:pPr>
        <w:pStyle w:val="1056"/>
        <w:pBdr/>
        <w:tabs>
          <w:tab w:val="left" w:leader="none" w:pos="709"/>
          <w:tab w:val="clear" w:leader="none" w:pos="720"/>
          <w:tab w:val="left" w:leader="none" w:pos="1276"/>
          <w:tab w:val="left" w:leader="none" w:pos="1843"/>
        </w:tabs>
        <w:spacing/>
        <w:ind/>
        <w:jc w:val="right"/>
        <w:rPr>
          <w:sz w:val="24"/>
          <w:szCs w:val="24"/>
        </w:rPr>
      </w:pPr>
      <w:r>
        <w:rPr>
          <w:sz w:val="24"/>
          <w:szCs w:val="24"/>
        </w:rPr>
        <w:t xml:space="preserve">Rio das Flôres/RJ, .....de..........de 2026.</w:t>
      </w:r>
      <w:r>
        <w:rPr>
          <w:sz w:val="24"/>
          <w:szCs w:val="24"/>
        </w:rPr>
      </w:r>
    </w:p>
    <w:p>
      <w:pPr>
        <w:pStyle w:val="1056"/>
        <w:pBdr/>
        <w:tabs>
          <w:tab w:val="clear" w:leader="none" w:pos="720"/>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p>
    <w:p>
      <w:pPr>
        <w:pStyle w:val="1056"/>
        <w:pBdr/>
        <w:tabs>
          <w:tab w:val="clear" w:leader="none" w:pos="720"/>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t xml:space="preserve">Assinatura do Representante Legal</w:t>
      </w:r>
      <w:r>
        <w:rPr>
          <w:rFonts w:eastAsia="Arial"/>
          <w:color w:val="000000"/>
          <w:sz w:val="24"/>
          <w:szCs w:val="24"/>
        </w:rPr>
      </w:r>
    </w:p>
    <w:p>
      <w:pPr>
        <w:pStyle w:val="1056"/>
        <w:pBdr/>
        <w:tabs>
          <w:tab w:val="clear" w:leader="none" w:pos="720"/>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p>
    <w:p>
      <w:pPr>
        <w:pStyle w:val="1056"/>
        <w:pBdr/>
        <w:tabs>
          <w:tab w:val="clear" w:leader="none" w:pos="720"/>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p>
    <w:p>
      <w:pPr>
        <w:pStyle w:val="1056"/>
        <w:pBdr/>
        <w:tabs>
          <w:tab w:val="clear" w:leader="none" w:pos="720"/>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p>
    <w:p>
      <w:pPr>
        <w:pStyle w:val="1056"/>
        <w:pBdr/>
        <w:tabs>
          <w:tab w:val="clear" w:leader="none" w:pos="720"/>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p>
    <w:p>
      <w:pPr>
        <w:pStyle w:val="1056"/>
        <w:pBdr/>
        <w:tabs>
          <w:tab w:val="clear" w:leader="none" w:pos="720"/>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p>
    <w:p>
      <w:pPr>
        <w:pStyle w:val="1056"/>
        <w:pBdr/>
        <w:tabs>
          <w:tab w:val="clear" w:leader="none" w:pos="720"/>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p>
    <w:p>
      <w:pPr>
        <w:pStyle w:val="1056"/>
        <w:pBdr/>
        <w:tabs>
          <w:tab w:val="clear" w:leader="none" w:pos="720"/>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p>
    <w:p>
      <w:pPr>
        <w:pStyle w:val="1056"/>
        <w:pBdr/>
        <w:tabs>
          <w:tab w:val="clear" w:leader="none" w:pos="720"/>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p>
    <w:p>
      <w:pPr>
        <w:pStyle w:val="1056"/>
        <w:pBdr/>
        <w:tabs>
          <w:tab w:val="clear" w:leader="none" w:pos="720"/>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p>
    <w:p>
      <w:pPr>
        <w:pStyle w:val="1056"/>
        <w:pBdr/>
        <w:tabs>
          <w:tab w:val="clear" w:leader="none" w:pos="720"/>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p>
    <w:p>
      <w:pPr>
        <w:pStyle w:val="1056"/>
        <w:pBdr/>
        <w:tabs>
          <w:tab w:val="clear" w:leader="none" w:pos="720"/>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p>
    <w:p>
      <w:pPr>
        <w:pStyle w:val="1056"/>
        <w:pBdr/>
        <w:tabs>
          <w:tab w:val="clear" w:leader="none" w:pos="720"/>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p>
    <w:p>
      <w:pPr>
        <w:pStyle w:val="1056"/>
        <w:pBdr/>
        <w:spacing/>
        <w:ind/>
        <w:jc w:val="center"/>
        <w:rPr>
          <w:b/>
          <w:sz w:val="24"/>
          <w:szCs w:val="24"/>
        </w:rPr>
      </w:pPr>
      <w:r>
        <w:rPr>
          <w:b/>
          <w:sz w:val="24"/>
          <w:szCs w:val="24"/>
        </w:rPr>
        <w:t xml:space="preserve">ANEXO IV – MINUTA DE ATA DE REGISTRO DE PREÇO</w:t>
      </w:r>
      <w:r>
        <w:rPr>
          <w:b/>
          <w:sz w:val="24"/>
          <w:szCs w:val="24"/>
        </w:rPr>
      </w:r>
    </w:p>
    <w:p>
      <w:pPr>
        <w:pStyle w:val="1056"/>
        <w:pBdr/>
        <w:spacing/>
        <w:ind/>
        <w:jc w:val="center"/>
        <w:rPr>
          <w:b/>
          <w:sz w:val="24"/>
          <w:szCs w:val="24"/>
        </w:rPr>
      </w:pPr>
      <w:r>
        <w:rPr>
          <w:b/>
          <w:sz w:val="24"/>
          <w:szCs w:val="24"/>
        </w:rPr>
      </w:r>
      <w:r>
        <w:rPr>
          <w:b/>
          <w:sz w:val="24"/>
          <w:szCs w:val="24"/>
        </w:rPr>
      </w:r>
    </w:p>
    <w:p>
      <w:pPr>
        <w:pStyle w:val="1056"/>
        <w:pBdr/>
        <w:spacing w:line="360" w:lineRule="auto"/>
        <w:ind/>
        <w:jc w:val="center"/>
        <w:rPr>
          <w:sz w:val="24"/>
          <w:szCs w:val="24"/>
        </w:rPr>
      </w:pPr>
      <w:r>
        <w:rPr>
          <w:b/>
          <w:sz w:val="24"/>
          <w:szCs w:val="24"/>
        </w:rPr>
        <w:t xml:space="preserve">ATA DE REGISTRO DE PREÇOS</w:t>
      </w:r>
      <w:r>
        <w:rPr>
          <w:sz w:val="24"/>
          <w:szCs w:val="24"/>
        </w:rPr>
      </w:r>
    </w:p>
    <w:p>
      <w:pPr>
        <w:pStyle w:val="1056"/>
        <w:widowControl w:val="false"/>
        <w:pBdr/>
        <w:spacing w:line="360" w:lineRule="auto"/>
        <w:ind w:right="-15"/>
        <w:jc w:val="center"/>
        <w:rPr>
          <w:sz w:val="24"/>
          <w:szCs w:val="24"/>
        </w:rPr>
      </w:pPr>
      <w:r>
        <w:rPr>
          <w:sz w:val="24"/>
          <w:szCs w:val="24"/>
        </w:rPr>
        <w:t xml:space="preserve">PREFEITURA MUNICIPAL DE RIO DAS FLÔRES</w:t>
      </w:r>
      <w:r>
        <w:rPr>
          <w:sz w:val="24"/>
          <w:szCs w:val="24"/>
        </w:rPr>
      </w:r>
    </w:p>
    <w:p>
      <w:pPr>
        <w:pStyle w:val="1056"/>
        <w:widowControl w:val="false"/>
        <w:pBdr/>
        <w:spacing w:line="360" w:lineRule="auto"/>
        <w:ind w:right="-30"/>
        <w:jc w:val="center"/>
        <w:rPr>
          <w:sz w:val="24"/>
          <w:szCs w:val="24"/>
        </w:rPr>
      </w:pPr>
      <w:r>
        <w:rPr>
          <w:sz w:val="24"/>
          <w:szCs w:val="24"/>
        </w:rPr>
        <w:t xml:space="preserve">ATA DE REGISTRO DE PREÇOS </w:t>
      </w:r>
      <w:r>
        <w:rPr>
          <w:sz w:val="24"/>
          <w:szCs w:val="24"/>
        </w:rPr>
      </w:r>
    </w:p>
    <w:p>
      <w:pPr>
        <w:pStyle w:val="1056"/>
        <w:widowControl w:val="false"/>
        <w:pBdr/>
        <w:spacing w:line="360" w:lineRule="auto"/>
        <w:ind w:right="-30"/>
        <w:jc w:val="center"/>
        <w:rPr>
          <w:sz w:val="24"/>
          <w:szCs w:val="24"/>
        </w:rPr>
      </w:pPr>
      <w:r>
        <w:rPr>
          <w:sz w:val="24"/>
          <w:szCs w:val="24"/>
        </w:rPr>
        <w:t xml:space="preserve">N.º .........</w:t>
      </w:r>
      <w:r>
        <w:rPr>
          <w:sz w:val="24"/>
          <w:szCs w:val="24"/>
        </w:rPr>
      </w:r>
    </w:p>
    <w:p>
      <w:pPr>
        <w:pStyle w:val="1056"/>
        <w:widowControl w:val="false"/>
        <w:pBdr/>
        <w:tabs>
          <w:tab w:val="clear" w:leader="none" w:pos="720"/>
          <w:tab w:val="center" w:leader="none" w:pos="4779"/>
          <w:tab w:val="right" w:leader="none" w:pos="9198"/>
        </w:tabs>
        <w:spacing w:line="276" w:lineRule="auto"/>
        <w:ind w:right="-28" w:firstLine="1418"/>
        <w:rPr>
          <w:sz w:val="24"/>
          <w:szCs w:val="24"/>
        </w:rPr>
      </w:pPr>
      <w:r>
        <w:rPr>
          <w:sz w:val="24"/>
          <w:szCs w:val="24"/>
        </w:rPr>
        <w:t xml:space="preserve">O PREFEITURA MUNICIPAL DE RIO DAS FLÔRES), com sede na Rua Cel. Eurico, 14 - Centro, na cidade de Rio das Flôres/RJ, inscrito(a) no CNPJ/MF sob o nº 29.179.454/0001-53, neste ato representado pelo(a) Secretário(a) Municipal de ............, nomeado pela </w:t>
      </w:r>
      <w:r>
        <w:rPr>
          <w:color w:val="ff0000"/>
          <w:sz w:val="24"/>
          <w:szCs w:val="24"/>
        </w:rPr>
        <w:t xml:space="preserve">Portaria nº ....... de ....... de janeiro de 202........</w:t>
      </w:r>
      <w:r>
        <w:rPr>
          <w:sz w:val="24"/>
          <w:szCs w:val="24"/>
        </w:rPr>
        <w:t xml:space="preserve">, </w:t>
      </w:r>
      <w:r>
        <w:rPr>
          <w:color w:val="ff0000"/>
          <w:sz w:val="24"/>
          <w:szCs w:val="24"/>
        </w:rPr>
        <w:t xml:space="preserve">publicada no Boletim Municipal de ........ de janeiro de 202......, portador da matrícula funcional nº .........</w:t>
      </w:r>
      <w:r>
        <w:rPr>
          <w:sz w:val="24"/>
          <w:szCs w:val="24"/>
        </w:rPr>
        <w:t xml:space="preserve">, considerando o julgamento da licitação na modalidade de pregão, na forma eletrônica, para REGISTRO DE PREÇOS nº </w:t>
      </w:r>
      <w:r>
        <w:rPr>
          <w:sz w:val="24"/>
          <w:szCs w:val="24"/>
        </w:rPr>
        <w:t xml:space="preserve">......./202..., publicada no ...... de ...../...../202....., processo administrativo n.º 7190/2025, RESOLVE registrar os preços da(s)  empresa(s) indicada(s) e qualificada(s) nesta ATA, de acordo com a classificação por ela(s) alcançada(s) e na(s)  quantid</w:t>
      </w:r>
      <w:r>
        <w:rPr>
          <w:sz w:val="24"/>
          <w:szCs w:val="24"/>
        </w:rPr>
        <w:t xml:space="preserve">ade(s)  cotada(s), atendendo as condições previstas no Edital de licitação, sujeitando-se as partes às normas constantes na Lei nº 14.133, de 1º de abril de 2021, no Decreto n.º 11.462, de 31 de março de 2023, e em conformidade com as disposições a seguir:</w:t>
      </w:r>
      <w:r>
        <w:rPr>
          <w:sz w:val="24"/>
          <w:szCs w:val="24"/>
        </w:rPr>
      </w:r>
    </w:p>
    <w:p>
      <w:pPr>
        <w:pStyle w:val="1056"/>
        <w:numPr>
          <w:ilvl w:val="1"/>
          <w:numId w:val="11"/>
        </w:numPr>
        <w:pBdr/>
        <w:tabs>
          <w:tab w:val="clear" w:leader="none" w:pos="720"/>
        </w:tabs>
        <w:spacing w:line="276" w:lineRule="auto"/>
        <w:ind w:firstLine="0" w:left="0"/>
        <w:rPr>
          <w:rFonts w:eastAsia="Times New Roman" w:cs="Times New Roman"/>
          <w:b/>
          <w:bCs/>
          <w:color w:val="auto"/>
          <w:sz w:val="24"/>
          <w:szCs w:val="24"/>
          <w:lang w:val="pt-BR" w:eastAsia="pt-BR" w:bidi="ar-SA"/>
          <w14:ligatures w14:val="none"/>
        </w:rPr>
      </w:pPr>
      <w:r>
        <w:rPr>
          <w:rFonts w:eastAsia="Arial"/>
          <w:b/>
          <w:color w:val="000000"/>
          <w:sz w:val="24"/>
          <w:szCs w:val="24"/>
          <w:u w:val="single"/>
        </w:rPr>
        <w:t xml:space="preserve">DO OBJETO</w:t>
      </w:r>
      <w:r>
        <w:rPr>
          <w:rFonts w:eastAsia="Times New Roman" w:cs="Times New Roman"/>
          <w:b/>
          <w:bCs/>
          <w:color w:val="auto"/>
          <w:sz w:val="24"/>
          <w:szCs w:val="24"/>
          <w:lang w:val="pt-BR" w:eastAsia="pt-BR" w:bidi="ar-SA"/>
          <w14:ligatures w14:val="none"/>
        </w:rPr>
      </w:r>
    </w:p>
    <w:p>
      <w:pPr>
        <w:pStyle w:val="1056"/>
        <w:pBdr/>
        <w:spacing w:after="0" w:before="0" w:line="276" w:lineRule="auto"/>
        <w:ind/>
        <w:rPr>
          <w:rFonts w:eastAsia="Cambria"/>
          <w:color w:val="000000" w:themeColor="text1"/>
          <w:sz w:val="26"/>
          <w:szCs w:val="26"/>
          <w14:ligatures w14:val="none"/>
        </w:rPr>
      </w:pPr>
      <w:r>
        <w:rPr>
          <w:rFonts w:eastAsia="Arial"/>
          <w:color w:val="000000"/>
          <w:sz w:val="24"/>
          <w:szCs w:val="24"/>
          <w:lang w:val="en-US"/>
        </w:rPr>
        <w:t xml:space="preserve">A presente Ata tem por objeto o registro de preços para Futura e Eventual contratação de empresa especializada na prestação de serviços de dedetização incluindo desratização, descupinização, desinsetização, controle de escorpiões e expurgo visando à</w:t>
      </w:r>
      <w:r>
        <w:rPr>
          <w:rFonts w:eastAsia="Arial"/>
          <w:color w:val="000000"/>
          <w:sz w:val="24"/>
          <w:szCs w:val="24"/>
          <w:lang w:val="en-US"/>
        </w:rPr>
        <w:t xml:space="preserve"> manutenção dos prédios públicos municipais e atendimento das demandas da Prefeitura, Fundos e demais setores da Administração Pública Municipal de Rio das Flores, por meio de Pregão Eletrônico, no sistema Registro de Preços com validade de 12 (doze) meses</w:t>
      </w:r>
      <w:r>
        <w:rPr>
          <w:rFonts w:eastAsia="Arial"/>
          <w:color w:val="000000"/>
          <w:sz w:val="24"/>
          <w:szCs w:val="24"/>
          <w:lang w:val="en-US" w:eastAsia="pt-BR" w:bidi="ar-SA"/>
        </w:rPr>
        <w:t xml:space="preserve">. </w:t>
      </w:r>
      <w:r>
        <w:rPr>
          <w:rFonts w:eastAsia="Arial"/>
          <w:color w:val="000000"/>
          <w:sz w:val="24"/>
          <w:szCs w:val="24"/>
          <w:lang w:val="en-US"/>
        </w:rPr>
        <w:t xml:space="preserve"> Especificado n</w:t>
      </w:r>
      <w:r>
        <w:rPr>
          <w:rFonts w:eastAsia="Arial"/>
          <w:color w:val="000000"/>
          <w:sz w:val="24"/>
          <w:szCs w:val="24"/>
        </w:rPr>
        <w:t xml:space="preserve">o item .......... do .......... Termo de Referência, anexo do edital de Licitação nº 020/2025, que é parte integrante desta Ata, assim como as propostas cujos preços tenham sido registrados, independentemente de transcrição.</w:t>
      </w:r>
      <w:r>
        <w:rPr>
          <w:rFonts w:eastAsia="Cambria"/>
          <w:color w:val="000000" w:themeColor="text1"/>
          <w:sz w:val="26"/>
          <w:szCs w:val="26"/>
          <w14:ligatures w14:val="none"/>
        </w:rPr>
      </w:r>
    </w:p>
    <w:p>
      <w:pPr>
        <w:pStyle w:val="1056"/>
        <w:keepNext w:val="true"/>
        <w:keepLines w:val="true"/>
        <w:numPr>
          <w:ilvl w:val="0"/>
          <w:numId w:val="11"/>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DOS PREÇOS, ESPECIFICAÇÕES E QUANTITATIVOS</w:t>
      </w: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preço registrado, as especificações do objeto, as quantidades mínimas e máximas de cada item, fornecedor(es) e as demais condições ofertadas na(s) proposta(s) são as que seguem: </w:t>
      </w:r>
      <w:r>
        <w:rPr>
          <w:rFonts w:eastAsia="Arial"/>
          <w:color w:val="000000"/>
          <w:sz w:val="24"/>
          <w:szCs w:val="24"/>
        </w:rPr>
      </w:r>
    </w:p>
    <w:tbl>
      <w:tblPr>
        <w:tblStyle w:val="1385"/>
        <w:tblInd w:w="141" w:type="dxa"/>
        <w:tblW w:w="9072" w:type="dxa"/>
        <w:tblCellMar>
          <w:left w:w="108" w:type="dxa"/>
          <w:top w:w="0" w:type="dxa"/>
          <w:right w:w="108" w:type="dxa"/>
          <w:bottom w:w="0" w:type="dxa"/>
        </w:tblCellMar>
        <w:tblBorders/>
        <w:tblLayout w:type="fixed"/>
        <w:tblLook w:val="0400" w:firstRow="0" w:lastRow="0" w:firstColumn="0" w:lastColumn="0" w:noHBand="0" w:noVBand="1"/>
      </w:tblPr>
      <w:tblGrid>
        <w:gridCol w:w="713"/>
        <w:gridCol w:w="2718"/>
        <w:gridCol w:w="567"/>
        <w:gridCol w:w="991"/>
        <w:gridCol w:w="1134"/>
        <w:gridCol w:w="1418"/>
        <w:gridCol w:w="1531"/>
      </w:tblGrid>
      <w:tr>
        <w:trPr/>
        <w:tc>
          <w:tcPr>
            <w:gridSpan w:val="7"/>
            <w:shd w:val="clear" w:color="auto" w:fill="d9d9d9"/>
            <w:tcBorders>
              <w:top w:val="single" w:color="000000" w:sz="4" w:space="0"/>
              <w:left w:val="single" w:color="000000" w:sz="4" w:space="0"/>
              <w:bottom w:val="single" w:color="000000" w:sz="4" w:space="0"/>
              <w:right w:val="single" w:color="000000" w:sz="4" w:space="0"/>
            </w:tcBorders>
            <w:tcW w:w="9072" w:type="dxa"/>
            <w:textDirection w:val="lrTb"/>
            <w:noWrap w:val="false"/>
          </w:tcPr>
          <w:p>
            <w:pPr>
              <w:pStyle w:val="1056"/>
              <w:widowControl w:val="true"/>
              <w:pBdr/>
              <w:spacing w:after="120" w:before="120"/>
              <w:ind w:right="-852"/>
              <w:rPr>
                <w:rFonts w:ascii="Arial" w:hAnsi="Arial" w:cs="Arial"/>
                <w:sz w:val="20"/>
                <w:szCs w:val="20"/>
                <w:lang w:val="pt-BR" w:eastAsia="pt-BR" w:bidi="ar-SA"/>
              </w:rPr>
            </w:pPr>
            <w:r>
              <w:rPr>
                <w:rFonts w:cs="Arial"/>
                <w:b/>
                <w:sz w:val="20"/>
                <w:szCs w:val="20"/>
                <w:lang w:val="pt-BR" w:eastAsia="pt-BR" w:bidi="ar-SA"/>
              </w:rPr>
              <w:t xml:space="preserve">Fornecedor:</w:t>
            </w:r>
            <w:r>
              <w:rPr>
                <w:rFonts w:ascii="Arial" w:hAnsi="Arial" w:cs="Arial"/>
                <w:sz w:val="20"/>
                <w:szCs w:val="20"/>
                <w:lang w:val="pt-BR" w:eastAsia="pt-BR" w:bidi="ar-SA"/>
              </w:rPr>
            </w:r>
          </w:p>
        </w:tc>
      </w:tr>
      <w:tr>
        <w:trPr>
          <w:trHeight w:val="133"/>
        </w:trPr>
        <w:tc>
          <w:tcPr>
            <w:tcBorders>
              <w:top w:val="single" w:color="000000" w:sz="4" w:space="0"/>
              <w:left w:val="single" w:color="000000" w:sz="4" w:space="0"/>
              <w:bottom w:val="single" w:color="000000" w:sz="4" w:space="0"/>
              <w:right w:val="single" w:color="000000" w:sz="4" w:space="0"/>
            </w:tcBorders>
            <w:tcW w:w="713"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t xml:space="preserve">Item</w:t>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2718"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t xml:space="preserve">         </w:t>
            </w:r>
            <w:r>
              <w:rPr>
                <w:rFonts w:cs="Arial"/>
                <w:sz w:val="20"/>
                <w:szCs w:val="20"/>
                <w:lang w:val="pt-BR" w:eastAsia="pt-BR" w:bidi="ar-SA"/>
              </w:rPr>
              <w:t xml:space="preserve">Especificação</w:t>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t xml:space="preserve">UN.</w:t>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991"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t xml:space="preserve">    </w:t>
            </w:r>
            <w:r>
              <w:rPr>
                <w:rFonts w:cs="Arial"/>
                <w:sz w:val="20"/>
                <w:szCs w:val="20"/>
                <w:lang w:val="pt-BR" w:eastAsia="pt-BR" w:bidi="ar-SA"/>
              </w:rPr>
              <w:t xml:space="preserve">Marca</w:t>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t xml:space="preserve">Quantidade</w:t>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t xml:space="preserve">Preço Unitário</w:t>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1531" w:type="dxa"/>
            <w:vAlign w:val="center"/>
            <w:textDirection w:val="lrTb"/>
            <w:noWrap w:val="false"/>
          </w:tcPr>
          <w:p>
            <w:pPr>
              <w:pStyle w:val="1056"/>
              <w:widowControl w:val="true"/>
              <w:pBdr/>
              <w:spacing w:after="0" w:before="0"/>
              <w:ind w:right="-852"/>
              <w:jc w:val="left"/>
              <w:rPr>
                <w:rFonts w:ascii="Arial" w:hAnsi="Arial" w:cs="Arial"/>
                <w:sz w:val="20"/>
                <w:szCs w:val="20"/>
                <w:lang w:val="pt-BR" w:eastAsia="pt-BR" w:bidi="ar-SA"/>
              </w:rPr>
            </w:pPr>
            <w:r>
              <w:rPr>
                <w:rFonts w:cs="Arial"/>
                <w:sz w:val="20"/>
                <w:szCs w:val="20"/>
                <w:lang w:val="pt-BR" w:eastAsia="pt-BR" w:bidi="ar-SA"/>
              </w:rPr>
              <w:t xml:space="preserve">Preço Total</w:t>
            </w:r>
            <w:r>
              <w:rPr>
                <w:rFonts w:ascii="Arial" w:hAnsi="Arial" w:cs="Arial"/>
                <w:sz w:val="20"/>
                <w:szCs w:val="20"/>
                <w:lang w:val="pt-BR" w:eastAsia="pt-BR" w:bidi="ar-SA"/>
              </w:rPr>
            </w:r>
          </w:p>
        </w:tc>
      </w:tr>
      <w:tr>
        <w:trPr>
          <w:trHeight w:val="133"/>
        </w:trPr>
        <w:tc>
          <w:tcPr>
            <w:tcBorders>
              <w:top w:val="single" w:color="000000" w:sz="4" w:space="0"/>
              <w:left w:val="single" w:color="000000" w:sz="4" w:space="0"/>
              <w:bottom w:val="single" w:color="000000" w:sz="4" w:space="0"/>
              <w:right w:val="single" w:color="000000" w:sz="4" w:space="0"/>
            </w:tcBorders>
            <w:tcW w:w="713"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2718" w:type="dxa"/>
            <w:vAlign w:val="center"/>
            <w:textDirection w:val="lrTb"/>
            <w:noWrap w:val="false"/>
          </w:tcPr>
          <w:p>
            <w:pPr>
              <w:pStyle w:val="1056"/>
              <w:widowControl w:val="true"/>
              <w:pBdr/>
              <w:spacing w:after="0" w:before="0"/>
              <w:ind/>
              <w:rPr>
                <w:rFonts w:ascii="ArialMT" w:hAnsi="ArialMT" w:eastAsia="ArialMT" w:cs="ArialMT"/>
                <w:sz w:val="16"/>
                <w:szCs w:val="16"/>
              </w:rPr>
            </w:pPr>
            <w:r>
              <w:rPr>
                <w:rFonts w:ascii="ArialMT" w:hAnsi="ArialMT" w:eastAsia="ArialMT" w:cs="ArialMT"/>
                <w:sz w:val="16"/>
                <w:szCs w:val="16"/>
              </w:rPr>
            </w:r>
            <w:r>
              <w:rPr>
                <w:rFonts w:ascii="ArialMT" w:hAnsi="ArialMT" w:eastAsia="ArialMT" w:cs="ArialMT"/>
                <w:sz w:val="16"/>
                <w:szCs w:val="16"/>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991"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1531" w:type="dxa"/>
            <w:vAlign w:val="center"/>
            <w:textDirection w:val="lrTb"/>
            <w:noWrap w:val="false"/>
          </w:tcPr>
          <w:p>
            <w:pPr>
              <w:pStyle w:val="1056"/>
              <w:widowControl w:val="true"/>
              <w:pBdr/>
              <w:spacing w:after="0" w:before="0"/>
              <w:ind w:right="-852"/>
              <w:jc w:val="left"/>
              <w:rPr>
                <w:rFonts w:ascii="Arial" w:hAnsi="Arial" w:cs="Arial"/>
                <w:sz w:val="20"/>
                <w:szCs w:val="20"/>
                <w:lang w:val="pt-BR" w:eastAsia="pt-BR" w:bidi="ar-SA"/>
              </w:rPr>
            </w:pPr>
            <w:r>
              <w:rPr>
                <w:rFonts w:cs="Arial"/>
                <w:sz w:val="20"/>
                <w:szCs w:val="20"/>
                <w:lang w:val="pt-BR" w:eastAsia="pt-BR" w:bidi="ar-SA"/>
              </w:rPr>
            </w:r>
            <w:r>
              <w:rPr>
                <w:rFonts w:ascii="Arial" w:hAnsi="Arial" w:cs="Arial"/>
                <w:sz w:val="20"/>
                <w:szCs w:val="20"/>
                <w:lang w:val="pt-BR" w:eastAsia="pt-BR" w:bidi="ar-SA"/>
              </w:rPr>
            </w:r>
          </w:p>
        </w:tc>
      </w:tr>
    </w:tbl>
    <w:p>
      <w:pPr>
        <w:pStyle w:val="1056"/>
        <w:pBdr/>
        <w:spacing w:line="276" w:lineRule="auto"/>
        <w:ind/>
        <w:rPr>
          <w:rFonts w:eastAsia="Arial"/>
          <w:color w:val="000000"/>
          <w:sz w:val="24"/>
          <w:szCs w:val="24"/>
        </w:rPr>
      </w:pPr>
      <w:r>
        <w:rPr>
          <w:rFonts w:eastAsia="Arial"/>
          <w:color w:val="000000"/>
          <w:sz w:val="24"/>
          <w:szCs w:val="24"/>
        </w:rPr>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 listagem do cadastro de reserva referente ao presente registro de preços consta como anexo a esta Ata.</w:t>
      </w:r>
      <w:r>
        <w:rPr>
          <w:rFonts w:eastAsia="Arial"/>
          <w:color w:val="000000"/>
          <w:sz w:val="24"/>
          <w:szCs w:val="24"/>
        </w:rPr>
      </w:r>
    </w:p>
    <w:p>
      <w:pPr>
        <w:pStyle w:val="1056"/>
        <w:keepNext w:val="true"/>
        <w:keepLines w:val="true"/>
        <w:numPr>
          <w:ilvl w:val="0"/>
          <w:numId w:val="11"/>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ÓRGÃO(S) GERENCIADOR E  PARTICIPANTE(S)</w:t>
      </w: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órgão gerenciador será a SECRETARIA MUNICIPAL DE CULTURA</w:t>
      </w:r>
      <w:r>
        <w:rPr>
          <w:rFonts w:eastAsia="Arial"/>
          <w:color w:val="000000"/>
          <w:sz w:val="24"/>
          <w:szCs w:val="24"/>
        </w:rPr>
      </w:r>
    </w:p>
    <w:p>
      <w:pPr>
        <w:pStyle w:val="1056"/>
        <w:keepNext w:val="true"/>
        <w:keepLines w:val="true"/>
        <w:numPr>
          <w:ilvl w:val="0"/>
          <w:numId w:val="11"/>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DA ADESÃO À ATA DE REGISTRO DE PREÇOS </w:t>
      </w:r>
      <w:r>
        <w:rPr>
          <w:rFonts w:eastAsia="Arial"/>
          <w:b/>
          <w:i/>
          <w:color w:val="000000"/>
          <w:sz w:val="24"/>
          <w:szCs w:val="24"/>
          <w:u w:val="single"/>
        </w:rPr>
        <w:t xml:space="preserve">(item obrigatório)</w:t>
      </w:r>
      <w:r/>
    </w:p>
    <w:p>
      <w:pPr>
        <w:pStyle w:val="1056"/>
        <w:keepNext w:val="true"/>
        <w:keepLines w:val="true"/>
        <w:numPr>
          <w:ilvl w:val="1"/>
          <w:numId w:val="11"/>
        </w:numPr>
        <w:pBdr/>
        <w:tabs>
          <w:tab w:val="left" w:leader="none" w:pos="0"/>
          <w:tab w:val="left" w:leader="none" w:pos="142"/>
          <w:tab w:val="clear" w:leader="none" w:pos="720"/>
        </w:tabs>
        <w:spacing w:after="288" w:before="288" w:line="312" w:lineRule="auto"/>
        <w:ind w:hanging="432" w:left="426"/>
        <w:rPr>
          <w:rFonts w:eastAsia="Arial"/>
          <w:b/>
          <w:color w:val="000000"/>
          <w:sz w:val="24"/>
          <w:szCs w:val="24"/>
        </w:rPr>
      </w:pPr>
      <w:r>
        <w:rPr>
          <w:rFonts w:eastAsia="Arial"/>
          <w:color w:val="000000"/>
          <w:sz w:val="24"/>
          <w:szCs w:val="24"/>
        </w:rPr>
        <w:t xml:space="preserve">Durante a vigênci</w:t>
      </w:r>
      <w:r>
        <w:rPr>
          <w:rFonts w:eastAsia="Arial"/>
          <w:color w:val="000000"/>
          <w:sz w:val="24"/>
          <w:szCs w:val="24"/>
        </w:rPr>
        <w:t xml:space="preserve">a da ata, os órgãos e as entidades da Administração Pública federal, estadual, distrital e municipal que não participaram do procedimento de IRP poderão aderir à ata de registro de preços na condição de não participantes, observados os seguintes requisitos</w:t>
      </w:r>
      <w:r>
        <w:rPr>
          <w:rFonts w:eastAsia="Arial"/>
          <w:b/>
          <w:color w:val="000000"/>
          <w:sz w:val="24"/>
          <w:szCs w:val="24"/>
        </w:rPr>
        <w:t xml:space="preserve">:</w:t>
      </w:r>
      <w:r>
        <w:rPr>
          <w:rFonts w:eastAsia="Arial"/>
          <w:b/>
          <w:color w:val="000000"/>
          <w:sz w:val="24"/>
          <w:szCs w:val="24"/>
        </w:rPr>
      </w:r>
    </w:p>
    <w:p>
      <w:pPr>
        <w:pStyle w:val="1056"/>
        <w:numPr>
          <w:ilvl w:val="2"/>
          <w:numId w:val="11"/>
        </w:numPr>
        <w:pBdr/>
        <w:spacing w:line="276" w:lineRule="auto"/>
        <w:ind w:hanging="504" w:left="993"/>
        <w:rPr>
          <w:rFonts w:eastAsia="Arial"/>
          <w:color w:val="000000"/>
          <w:sz w:val="24"/>
          <w:szCs w:val="24"/>
        </w:rPr>
      </w:pPr>
      <w:r>
        <w:rPr>
          <w:rFonts w:eastAsia="Arial"/>
          <w:color w:val="000000"/>
          <w:sz w:val="24"/>
          <w:szCs w:val="24"/>
        </w:rPr>
        <w:t xml:space="preserve">apresentação de justificativa da vantagem da adesão, inclusive em situações de provável desabastecimento ou descontinuidade de serviço público;</w:t>
      </w:r>
      <w:r>
        <w:rPr>
          <w:rFonts w:eastAsia="Arial"/>
          <w:color w:val="000000"/>
          <w:sz w:val="24"/>
          <w:szCs w:val="24"/>
        </w:rPr>
      </w:r>
    </w:p>
    <w:p>
      <w:pPr>
        <w:pStyle w:val="1056"/>
        <w:numPr>
          <w:ilvl w:val="2"/>
          <w:numId w:val="11"/>
        </w:numPr>
        <w:pBdr/>
        <w:spacing w:line="276" w:lineRule="auto"/>
        <w:ind w:hanging="504" w:left="993"/>
        <w:rPr>
          <w:rFonts w:eastAsia="Arial"/>
          <w:color w:val="000000"/>
          <w:sz w:val="24"/>
          <w:szCs w:val="24"/>
        </w:rPr>
      </w:pPr>
      <w:r/>
      <w:bookmarkStart w:id="81" w:name="_heading=h.haapch"/>
      <w:r/>
      <w:bookmarkEnd w:id="81"/>
      <w:r>
        <w:rPr>
          <w:rFonts w:eastAsia="Arial"/>
          <w:color w:val="000000"/>
          <w:sz w:val="24"/>
          <w:szCs w:val="24"/>
        </w:rPr>
        <w:t xml:space="preserve">demonstração de que os valores registrados estão compatíveis com os valores praticados pelo mercado na forma do art. 23 da Lei nº 14.133, de 2021; e</w:t>
      </w:r>
      <w:r>
        <w:rPr>
          <w:rFonts w:eastAsia="Arial"/>
          <w:color w:val="000000"/>
          <w:sz w:val="24"/>
          <w:szCs w:val="24"/>
        </w:rPr>
      </w:r>
    </w:p>
    <w:p>
      <w:pPr>
        <w:pStyle w:val="1056"/>
        <w:numPr>
          <w:ilvl w:val="2"/>
          <w:numId w:val="11"/>
        </w:numPr>
        <w:pBdr/>
        <w:spacing w:line="276" w:lineRule="auto"/>
        <w:ind w:hanging="504" w:left="993"/>
        <w:rPr>
          <w:rFonts w:eastAsia="Arial"/>
          <w:color w:val="000000"/>
          <w:sz w:val="24"/>
          <w:szCs w:val="24"/>
        </w:rPr>
      </w:pPr>
      <w:r>
        <w:rPr>
          <w:rFonts w:eastAsia="Arial"/>
          <w:color w:val="000000"/>
          <w:sz w:val="24"/>
          <w:szCs w:val="24"/>
        </w:rPr>
        <w:t xml:space="preserve">consulta e aceitação prévias do órgão ou da entidade gerenciadora e do fornecedor.</w:t>
      </w:r>
      <w:r>
        <w:rPr>
          <w:rFonts w:eastAsia="Arial"/>
          <w:color w:val="000000"/>
          <w:sz w:val="24"/>
          <w:szCs w:val="24"/>
        </w:rPr>
      </w:r>
    </w:p>
    <w:p>
      <w:pPr>
        <w:pStyle w:val="1056"/>
        <w:numPr>
          <w:ilvl w:val="1"/>
          <w:numId w:val="11"/>
        </w:numPr>
        <w:pBdr/>
        <w:spacing w:line="276" w:lineRule="auto"/>
        <w:ind w:hanging="432" w:left="567"/>
        <w:rPr>
          <w:rFonts w:eastAsia="Arial"/>
          <w:color w:val="000000"/>
          <w:sz w:val="24"/>
          <w:szCs w:val="24"/>
        </w:rPr>
      </w:pPr>
      <w:r>
        <w:rPr>
          <w:rFonts w:eastAsia="Arial"/>
          <w:color w:val="000000"/>
          <w:sz w:val="24"/>
          <w:szCs w:val="24"/>
        </w:rPr>
        <w:t xml:space="preserve">A autorização do órgão ou entidade gerenciadora apenas será realizada após a aceitação da adesão pelo fornecedor.</w:t>
      </w:r>
      <w:r>
        <w:rPr>
          <w:rFonts w:eastAsia="Arial"/>
          <w:color w:val="000000"/>
          <w:sz w:val="24"/>
          <w:szCs w:val="24"/>
        </w:rPr>
      </w:r>
    </w:p>
    <w:p>
      <w:pPr>
        <w:pStyle w:val="1056"/>
        <w:numPr>
          <w:ilvl w:val="2"/>
          <w:numId w:val="11"/>
        </w:numPr>
        <w:pBdr/>
        <w:spacing w:line="276" w:lineRule="auto"/>
        <w:ind w:firstLine="0" w:left="567"/>
        <w:rPr>
          <w:rFonts w:eastAsia="Arial"/>
          <w:color w:val="000000"/>
          <w:sz w:val="24"/>
          <w:szCs w:val="24"/>
        </w:rPr>
      </w:pPr>
      <w:r>
        <w:rPr>
          <w:rFonts w:eastAsia="Arial"/>
          <w:color w:val="000000"/>
          <w:sz w:val="24"/>
          <w:szCs w:val="24"/>
        </w:rPr>
        <w:t xml:space="preserve">O órgão ou entidade gerenciadora poderá rejeitar adesões caso elas possam acarretar prejuízo à execução de seus próprios contratos ou à sua capacidade de gerenciamento.</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 </w:t>
      </w:r>
      <w:r>
        <w:rPr>
          <w:rFonts w:eastAsia="Arial"/>
          <w:color w:val="000000"/>
          <w:sz w:val="24"/>
          <w:szCs w:val="24"/>
        </w:rPr>
        <w:t xml:space="preserve">Após a autorização do órgão ou da entidade gerenciadora, o órgão ou entidade não participante deverá efetivar a aquisição ou a contratação solicitada em até noventa dias, observado o prazo de vigência da ata.</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 </w:t>
      </w:r>
      <w:r>
        <w:rPr>
          <w:rFonts w:eastAsia="Arial"/>
          <w:color w:val="000000"/>
          <w:sz w:val="24"/>
          <w:szCs w:val="24"/>
        </w:rPr>
        <w:t xml:space="preserve">O prazo de que trata o subitem anterior, relativo à ef</w:t>
      </w:r>
      <w:r>
        <w:rPr>
          <w:rFonts w:eastAsia="Arial"/>
          <w:color w:val="000000"/>
          <w:sz w:val="24"/>
          <w:szCs w:val="24"/>
        </w:rPr>
        <w:t xml:space="preserve">etivação da contratação, poderá ser prorrogado excepcionalmente, mediante solicitação do órgão ou da entidade não participante aceita pelo órgão ou pela entidade gerenciadora, desde que respeitado o limite temporal de vigência da ata de registro de preços.</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órgão ou a entidade poderá aderir a item da ata de registro de preços da qual seja integrante, na qualidade de não participante, para aqueles itens para os quais não tenha quantitativo registrado, observados os requisitos do item 4.1.</w:t>
      </w:r>
      <w:r>
        <w:rPr>
          <w:rFonts w:eastAsia="Arial"/>
          <w:color w:val="000000"/>
          <w:sz w:val="24"/>
          <w:szCs w:val="24"/>
        </w:rPr>
      </w:r>
    </w:p>
    <w:p>
      <w:pPr>
        <w:pStyle w:val="1056"/>
        <w:pBdr/>
        <w:spacing w:after="120" w:before="240" w:line="276" w:lineRule="auto"/>
        <w:ind/>
        <w:rPr>
          <w:rFonts w:eastAsia="Arial"/>
          <w:b/>
          <w:color w:val="000000"/>
          <w:sz w:val="24"/>
          <w:szCs w:val="24"/>
        </w:rPr>
      </w:pPr>
      <w:r>
        <w:rPr>
          <w:rFonts w:eastAsia="Arial"/>
          <w:b/>
          <w:color w:val="000000"/>
          <w:sz w:val="24"/>
          <w:szCs w:val="24"/>
        </w:rPr>
        <w:t xml:space="preserve">Dos limites para as adesões</w:t>
      </w:r>
      <w:r>
        <w:rPr>
          <w:rFonts w:eastAsia="Arial"/>
          <w:b/>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As aquisições ou contratações adicionais não poderão exceder, por órgão ou entidade, a cinquenta por cento dos quantitativos dos itens do instrumento convocatório registrado na ata de registro de preços para o gerenciador e para os participantes.</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quantitativo decorrente das adesões não po</w:t>
      </w:r>
      <w:r>
        <w:rPr>
          <w:rFonts w:eastAsia="Arial"/>
          <w:color w:val="000000"/>
          <w:sz w:val="24"/>
          <w:szCs w:val="24"/>
        </w:rPr>
        <w:t xml:space="preserve">derá exceder, na totalidade, ao dobro do quantitativo de cada item registrado na ata de registro de preços para o gerenciador e os participantes, independentemente do número de órgãos ou entidades não participantes que aderirem à ata de registro de preços.</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Para aquisição emergencial de medicament</w:t>
      </w:r>
      <w:r>
        <w:rPr>
          <w:rFonts w:eastAsia="Arial"/>
          <w:color w:val="000000"/>
          <w:sz w:val="24"/>
          <w:szCs w:val="24"/>
        </w:rPr>
        <w:t xml:space="preserve">os e material de consumo médico-hospitalar por órgãos e entidades da Administração Pública federal, estadual, distrital e municipal, a adesão à ata de registro de preços gerenciada pelo Ministério da Saúde não estará sujeita ao limite previsto no item 4.6.</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 adesão à ata de registro de preços por órgãos e entidades da Administração Pública estadual, distrital e municipal poderá ser exigida para fins de transferências voluntárias, não ficando sujeita</w:t>
      </w:r>
      <w:r>
        <w:rPr>
          <w:rFonts w:eastAsia="Arial"/>
          <w:color w:val="000000"/>
          <w:sz w:val="24"/>
          <w:szCs w:val="24"/>
        </w:rPr>
        <w:t xml:space="preserve"> ao limite de que trata o item 4.7, desde que seja destinada à execução descentralizada de programa ou projeto federal e comprovada a compatibilidade dos preços registrados com os valores praticados no mercado na forma do art. 23 da Lei nº 14.133, de 2021.</w:t>
      </w:r>
      <w:r>
        <w:rPr>
          <w:rFonts w:eastAsia="Arial"/>
          <w:color w:val="000000"/>
          <w:sz w:val="24"/>
          <w:szCs w:val="24"/>
        </w:rPr>
      </w:r>
    </w:p>
    <w:p>
      <w:pPr>
        <w:pStyle w:val="1056"/>
        <w:pBdr/>
        <w:spacing w:after="120" w:before="240" w:line="276" w:lineRule="auto"/>
        <w:ind/>
        <w:rPr>
          <w:rFonts w:eastAsia="Arial"/>
          <w:b/>
          <w:color w:val="000000"/>
          <w:sz w:val="24"/>
          <w:szCs w:val="24"/>
        </w:rPr>
      </w:pPr>
      <w:r>
        <w:rPr>
          <w:rFonts w:eastAsia="Arial"/>
          <w:b/>
          <w:color w:val="000000"/>
          <w:sz w:val="24"/>
          <w:szCs w:val="24"/>
        </w:rPr>
        <w:t xml:space="preserve">Vedação a acréscimo de quantitativos</w:t>
      </w:r>
      <w:r>
        <w:rPr>
          <w:rFonts w:eastAsia="Arial"/>
          <w:b/>
          <w:color w:val="000000"/>
          <w:sz w:val="24"/>
          <w:szCs w:val="24"/>
        </w:rPr>
      </w:r>
    </w:p>
    <w:p>
      <w:pPr>
        <w:pStyle w:val="1056"/>
        <w:numPr>
          <w:ilvl w:val="1"/>
          <w:numId w:val="11"/>
        </w:numPr>
        <w:pBdr/>
        <w:spacing w:line="276" w:lineRule="auto"/>
        <w:ind w:firstLine="0" w:left="0"/>
        <w:rPr>
          <w:rFonts w:eastAsia="Arial"/>
          <w:color w:val="000000"/>
          <w:sz w:val="20"/>
          <w:szCs w:val="20"/>
        </w:rPr>
      </w:pPr>
      <w:r>
        <w:rPr>
          <w:rFonts w:eastAsia="Arial"/>
          <w:color w:val="000000"/>
          <w:sz w:val="24"/>
          <w:szCs w:val="24"/>
        </w:rPr>
        <w:t xml:space="preserve">É vedado efetuar acréscimos nos quantitativos fixados na ata de registro de preços.</w:t>
      </w:r>
      <w:r>
        <w:rPr>
          <w:rFonts w:eastAsia="Arial"/>
          <w:color w:val="000000"/>
          <w:sz w:val="20"/>
          <w:szCs w:val="20"/>
        </w:rPr>
      </w:r>
    </w:p>
    <w:p>
      <w:pPr>
        <w:pStyle w:val="1056"/>
        <w:keepNext w:val="true"/>
        <w:keepLines w:val="true"/>
        <w:numPr>
          <w:ilvl w:val="0"/>
          <w:numId w:val="11"/>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VALIDADE, FORMALIZAÇÃO DA ATA DE REGISTRO DE PREÇOS E CADASTRO RESERVA</w:t>
      </w: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w:t>
      </w:r>
      <w:r>
        <w:rPr>
          <w:rFonts w:eastAsia="Arial"/>
          <w:color w:val="000000"/>
          <w:sz w:val="24"/>
          <w:szCs w:val="24"/>
        </w:rPr>
        <w:t xml:space="preserve"> validade da Ata de Registro de Preços será de 01 (um) ano, contado a partir do primeiro dia útil subsequente à data de divulgação no PNCP, podendo ser prorrogada por igual período, mediante a anuência do fornecedor, desde que comprovado o preço vantajoso.</w:t>
      </w:r>
      <w:r>
        <w:rPr>
          <w:rFonts w:eastAsia="Arial"/>
          <w:color w:val="000000"/>
          <w:sz w:val="24"/>
          <w:szCs w:val="24"/>
        </w:rPr>
      </w:r>
    </w:p>
    <w:p>
      <w:pPr>
        <w:pStyle w:val="1056"/>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O contrato decorrente da ata de registro de preços terá sua vi</w:t>
      </w:r>
      <w:r>
        <w:rPr>
          <w:rFonts w:eastAsia="Arial"/>
          <w:color w:val="000000"/>
          <w:sz w:val="24"/>
          <w:szCs w:val="24"/>
        </w:rPr>
        <w:t xml:space="preserve">gência estabelecida no próprio instrumento contratual e observará no momento da contratação e a cada exercício financeiro a disponibilidade de créditos orçamentários, bem como a previsão no plano plurianual, quando ultrapassar 01 (um) exercício financeiro.</w:t>
      </w:r>
      <w:r>
        <w:rPr>
          <w:rFonts w:eastAsia="Arial"/>
          <w:color w:val="000000"/>
          <w:sz w:val="24"/>
          <w:szCs w:val="24"/>
        </w:rPr>
      </w:r>
    </w:p>
    <w:p>
      <w:pPr>
        <w:pStyle w:val="1056"/>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Na formalização do contrato ou do instrumento substituto deverá haver a indicação da disponibilidade dos créditos orçamentários respectivos.</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 contratação com os fornecedo</w:t>
      </w:r>
      <w:r>
        <w:rPr>
          <w:rFonts w:eastAsia="Arial"/>
          <w:color w:val="000000"/>
          <w:sz w:val="24"/>
          <w:szCs w:val="24"/>
        </w:rPr>
        <w:t xml:space="preserve">res registrados na ata será formalizada pelo órgão ou pela entidade interessada por intermédio de instrumento contratual, emissão de nota de empenho de despesa, autorização de compra ou outro instrumento hábil, conforme o art. 95 da Lei nº 14.133, de 2021.</w:t>
      </w:r>
      <w:r>
        <w:rPr>
          <w:rFonts w:eastAsia="Arial"/>
          <w:color w:val="000000"/>
          <w:sz w:val="24"/>
          <w:szCs w:val="24"/>
        </w:rPr>
      </w:r>
    </w:p>
    <w:p>
      <w:pPr>
        <w:pStyle w:val="1056"/>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 </w:t>
      </w:r>
      <w:r>
        <w:rPr>
          <w:rFonts w:eastAsia="Arial"/>
          <w:color w:val="000000"/>
          <w:sz w:val="24"/>
          <w:szCs w:val="24"/>
        </w:rPr>
        <w:t xml:space="preserve">O instrumento contratual de que trata o item 5.2. deverá ser assinado no prazo de validade da ata de registro de preços.</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Os contratos decorrentes do sistema de registro de preços poderão ser alterados, observado o art. 124 da Lei nº 14.133, de 2021.</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Após a homologação da licitação ou da contratação direta, deverão ser observadas as seguintes condições para formalização da ata de registro de preços:</w:t>
      </w:r>
      <w:r>
        <w:rPr>
          <w:rFonts w:eastAsia="Arial"/>
          <w:color w:val="000000"/>
          <w:sz w:val="24"/>
          <w:szCs w:val="24"/>
        </w:rPr>
      </w:r>
    </w:p>
    <w:p>
      <w:pPr>
        <w:pStyle w:val="1056"/>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Serão registrados na ata os preços e os quantitativos do adjudicatário, devendo ser observada a possibilidade de o licitante oferecer ou não proposta em quantitativo inferior ao máximo previsto </w:t>
      </w:r>
      <w:r>
        <w:rPr>
          <w:rFonts w:eastAsia="Arial"/>
          <w:i/>
          <w:color w:val="000000"/>
          <w:sz w:val="24"/>
          <w:szCs w:val="24"/>
        </w:rPr>
        <w:t xml:space="preserve">no edital </w:t>
      </w:r>
      <w:r>
        <w:rPr>
          <w:rFonts w:eastAsia="Arial"/>
          <w:color w:val="000000"/>
          <w:sz w:val="24"/>
          <w:szCs w:val="24"/>
        </w:rPr>
        <w:t xml:space="preserve">e se obrigar nos limites dela;</w:t>
      </w:r>
      <w:r>
        <w:rPr>
          <w:rFonts w:eastAsia="Arial"/>
          <w:color w:val="000000"/>
          <w:sz w:val="24"/>
          <w:szCs w:val="24"/>
        </w:rPr>
      </w:r>
    </w:p>
    <w:p>
      <w:pPr>
        <w:pStyle w:val="1056"/>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Será incluído na ata, na forma de anexo, o registro dos licitantes ou dos fornecedores que:</w:t>
      </w:r>
      <w:r>
        <w:rPr>
          <w:rFonts w:eastAsia="Arial"/>
          <w:color w:val="000000"/>
          <w:sz w:val="24"/>
          <w:szCs w:val="24"/>
        </w:rPr>
      </w:r>
    </w:p>
    <w:p>
      <w:pPr>
        <w:pStyle w:val="1056"/>
        <w:numPr>
          <w:ilvl w:val="3"/>
          <w:numId w:val="11"/>
        </w:numPr>
        <w:pBdr/>
        <w:spacing w:line="276" w:lineRule="auto"/>
        <w:ind w:firstLine="0" w:left="567"/>
        <w:rPr>
          <w:rFonts w:eastAsia="Arial"/>
          <w:color w:val="000000"/>
          <w:sz w:val="24"/>
          <w:szCs w:val="24"/>
        </w:rPr>
      </w:pPr>
      <w:r>
        <w:rPr>
          <w:rFonts w:eastAsia="Arial"/>
          <w:color w:val="000000"/>
          <w:sz w:val="24"/>
          <w:szCs w:val="24"/>
        </w:rPr>
        <w:t xml:space="preserve">Aceitarem cotar os bens, as obras ou os serviços com preços iguais aos do adjudicatário, observada a classificação da licitação; e </w:t>
      </w:r>
      <w:r>
        <w:rPr>
          <w:rFonts w:eastAsia="Arial"/>
          <w:color w:val="000000"/>
          <w:sz w:val="24"/>
          <w:szCs w:val="24"/>
        </w:rPr>
      </w:r>
    </w:p>
    <w:p>
      <w:pPr>
        <w:pStyle w:val="1056"/>
        <w:numPr>
          <w:ilvl w:val="3"/>
          <w:numId w:val="11"/>
        </w:numPr>
        <w:pBdr/>
        <w:spacing w:line="276" w:lineRule="auto"/>
        <w:ind w:firstLine="0" w:left="567"/>
        <w:rPr>
          <w:rFonts w:eastAsia="Arial"/>
          <w:color w:val="000000"/>
          <w:sz w:val="24"/>
          <w:szCs w:val="24"/>
        </w:rPr>
      </w:pPr>
      <w:r>
        <w:rPr>
          <w:rFonts w:eastAsia="Arial"/>
          <w:color w:val="000000"/>
          <w:sz w:val="24"/>
          <w:szCs w:val="24"/>
        </w:rPr>
        <w:t xml:space="preserve">Mantiverem sua proposta original. </w:t>
      </w:r>
      <w:bookmarkStart w:id="82" w:name="bookmark=id.319y80a"/>
      <w:r/>
      <w:bookmarkEnd w:id="82"/>
      <w:r/>
      <w:r>
        <w:rPr>
          <w:rFonts w:eastAsia="Arial"/>
          <w:color w:val="000000"/>
          <w:sz w:val="24"/>
          <w:szCs w:val="24"/>
        </w:rPr>
      </w:r>
    </w:p>
    <w:p>
      <w:pPr>
        <w:pStyle w:val="1056"/>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Será respeitada, nas contratações, a ordem de classificação dos licitantes ou dos fornecedores registrados na ata.</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registro a que se refere o item 5.4.2</w:t>
      </w:r>
      <w:r>
        <w:rPr>
          <w:rFonts w:eastAsia="Arial"/>
          <w:b/>
          <w:color w:val="000000"/>
          <w:sz w:val="24"/>
          <w:szCs w:val="24"/>
        </w:rPr>
        <w:t xml:space="preserve"> </w:t>
      </w:r>
      <w:r>
        <w:rPr>
          <w:rFonts w:eastAsia="Arial"/>
          <w:color w:val="000000"/>
          <w:sz w:val="24"/>
          <w:szCs w:val="24"/>
        </w:rPr>
        <w:t xml:space="preserve">tem por objetivo a formação de cadastro de reserva para o caso de impossibilidade de atendimento pelo signatário da ata.</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Para fins da ordem de classificação, os licitantes ou fornecedores que aceitarem reduzir suas propostas para o preço do adjudicatário antecederão aqueles que mantiverem sua proposta original.</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 habilitação dos licitantes que comporão o cadastro de reserva a que se refere o item 5.4.2.2 somente será efetuada quando houver necessidade de contratação dos licitantes remanescentes, nas seguintes hipóteses:</w:t>
      </w:r>
      <w:r>
        <w:rPr>
          <w:rFonts w:eastAsia="Arial"/>
          <w:color w:val="000000"/>
          <w:sz w:val="24"/>
          <w:szCs w:val="24"/>
        </w:rPr>
      </w:r>
    </w:p>
    <w:p>
      <w:pPr>
        <w:pStyle w:val="1056"/>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Quando o licitante vencedor não assinar a ata de registro de preços, no prazo e nas condições estabelecidos </w:t>
      </w:r>
      <w:r>
        <w:rPr>
          <w:rFonts w:eastAsia="Arial"/>
          <w:i/>
          <w:color w:val="000000"/>
          <w:sz w:val="24"/>
          <w:szCs w:val="24"/>
        </w:rPr>
        <w:t xml:space="preserve">no edital;</w:t>
      </w:r>
      <w:r>
        <w:rPr>
          <w:rFonts w:eastAsia="Arial"/>
          <w:color w:val="000000"/>
          <w:sz w:val="24"/>
          <w:szCs w:val="24"/>
        </w:rPr>
        <w:t xml:space="preserve"> e</w:t>
      </w:r>
      <w:r>
        <w:rPr>
          <w:rFonts w:eastAsia="Arial"/>
          <w:color w:val="000000"/>
          <w:sz w:val="24"/>
          <w:szCs w:val="24"/>
        </w:rPr>
      </w:r>
    </w:p>
    <w:p>
      <w:pPr>
        <w:pStyle w:val="1056"/>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Quando houver o cancelamento do registro do licitante ou do registro de preços nas hipóteses previstas no item 9.</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preço registrado com indicação dos licitantes e fornecedores será divulgado no PNCP e ficará disponibilizado durante a vigência da ata de registro de preços.</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Após a homologação da licitação ou da contratação direta, o licitante mais bem classificado ou o fornecedor, no caso da contrataç</w:t>
      </w:r>
      <w:r>
        <w:rPr>
          <w:rFonts w:eastAsia="Arial"/>
          <w:color w:val="000000"/>
          <w:sz w:val="24"/>
          <w:szCs w:val="24"/>
        </w:rPr>
        <w:t xml:space="preserve">ão direta, será convocado para assinar a ata de registro de preços, no prazo e nas condições estabelecidos no edital de licitação ou no aviso de contratação direta, sob pena de decair o direito, sem prejuízo das sanções previstas na Lei nº 14.133, de 2021.</w:t>
      </w:r>
      <w:r>
        <w:rPr>
          <w:rFonts w:eastAsia="Arial"/>
          <w:color w:val="000000"/>
          <w:sz w:val="24"/>
          <w:szCs w:val="24"/>
        </w:rPr>
      </w:r>
    </w:p>
    <w:p>
      <w:pPr>
        <w:pStyle w:val="1056"/>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O prazo de convocação poderá ser prorrogado 01 (uma) vez, por igual período, mediante solicitação do licitante ou fornecedor convocado, desde que apresentada dentro do prazo, devidamente justificada, e que a justificativa seja aceita pela Administração.</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 ata de registro de preços será assinada por meio de assinatura digital e disponibilizada no Sistema de Registro de Preços.</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Quando o convocado não assinar a ata de registro de preços no prazo e nas condições estabelecidos no edital ou no aviso de contratação, e observado o disposto no item Erro: Origem da refer</w:t>
      </w:r>
      <w:r>
        <w:rPr>
          <w:rFonts w:eastAsia="Arial"/>
          <w:color w:val="000000"/>
          <w:sz w:val="24"/>
          <w:szCs w:val="24"/>
        </w:rPr>
        <w:t xml:space="preserve">ência não encontrada, observando o item 5.7 e subitens, fica facultado à Administração convocar os licitantes remanescentes do cadastro de reserva, na ordem de classificação, para fazê-lo em igual prazo e nas condições propostas pelo primeiro classificado.</w:t>
      </w:r>
      <w:r>
        <w:rPr>
          <w:rFonts w:eastAsia="Arial"/>
          <w:color w:val="000000"/>
          <w:sz w:val="24"/>
          <w:szCs w:val="24"/>
        </w:rPr>
      </w:r>
    </w:p>
    <w:p>
      <w:pPr>
        <w:pStyle w:val="1056"/>
        <w:numPr>
          <w:ilvl w:val="1"/>
          <w:numId w:val="11"/>
        </w:numPr>
        <w:pBdr/>
        <w:tabs>
          <w:tab w:val="clear" w:leader="none" w:pos="720"/>
          <w:tab w:val="left" w:leader="none" w:pos="851"/>
        </w:tabs>
        <w:spacing w:line="276" w:lineRule="auto"/>
        <w:ind w:firstLine="0" w:left="0"/>
        <w:rPr>
          <w:rFonts w:eastAsia="Arial"/>
          <w:color w:val="000000"/>
          <w:sz w:val="24"/>
          <w:szCs w:val="24"/>
        </w:rPr>
      </w:pPr>
      <w:r>
        <w:rPr>
          <w:rFonts w:eastAsia="Arial"/>
          <w:color w:val="000000"/>
          <w:sz w:val="24"/>
          <w:szCs w:val="24"/>
        </w:rPr>
        <w:t xml:space="preserve">Na hipótese de nenhum dos licitantes que trata o item 5.4.2.1, aceitar a contratação nos termos do item anterior, a Administração, observados o valor estimado e sua eventual atualização nos termos </w:t>
      </w:r>
      <w:r>
        <w:rPr>
          <w:rFonts w:eastAsia="Arial"/>
          <w:i/>
          <w:color w:val="000000"/>
          <w:sz w:val="24"/>
          <w:szCs w:val="24"/>
        </w:rPr>
        <w:t xml:space="preserve">do edital</w:t>
      </w:r>
      <w:r>
        <w:rPr>
          <w:rFonts w:eastAsia="Arial"/>
          <w:color w:val="000000"/>
          <w:sz w:val="24"/>
          <w:szCs w:val="24"/>
        </w:rPr>
        <w:t xml:space="preserve">, poderá:</w:t>
      </w:r>
      <w:r>
        <w:rPr>
          <w:rFonts w:eastAsia="Arial"/>
          <w:color w:val="000000"/>
          <w:sz w:val="24"/>
          <w:szCs w:val="24"/>
        </w:rPr>
      </w:r>
    </w:p>
    <w:p>
      <w:pPr>
        <w:pStyle w:val="1056"/>
        <w:numPr>
          <w:ilvl w:val="2"/>
          <w:numId w:val="11"/>
        </w:numPr>
        <w:pBdr/>
        <w:tabs>
          <w:tab w:val="clear" w:leader="none" w:pos="720"/>
          <w:tab w:val="left" w:leader="none" w:pos="851"/>
        </w:tabs>
        <w:spacing w:line="276" w:lineRule="auto"/>
        <w:ind w:firstLine="0" w:left="0"/>
        <w:rPr>
          <w:rFonts w:eastAsia="Arial"/>
          <w:color w:val="000000"/>
          <w:sz w:val="24"/>
          <w:szCs w:val="24"/>
        </w:rPr>
      </w:pPr>
      <w:r>
        <w:rPr>
          <w:rFonts w:eastAsia="Arial"/>
          <w:color w:val="000000"/>
          <w:sz w:val="24"/>
          <w:szCs w:val="24"/>
        </w:rPr>
        <w:t xml:space="preserve">Convocar para negociação os demais licitantes ou fornecedores remanescentes cujos preços foram registrados sem redução, observada a ordem de classificação, com vistas à obtenção de preço melhor, mesmo que acima do preço do adjudicatário; ou</w:t>
      </w:r>
      <w:r>
        <w:rPr>
          <w:rFonts w:eastAsia="Arial"/>
          <w:color w:val="000000"/>
          <w:sz w:val="24"/>
          <w:szCs w:val="24"/>
        </w:rPr>
      </w:r>
    </w:p>
    <w:p>
      <w:pPr>
        <w:pStyle w:val="1056"/>
        <w:numPr>
          <w:ilvl w:val="2"/>
          <w:numId w:val="11"/>
        </w:numPr>
        <w:pBdr/>
        <w:tabs>
          <w:tab w:val="clear" w:leader="none" w:pos="720"/>
          <w:tab w:val="left" w:leader="none" w:pos="851"/>
        </w:tabs>
        <w:spacing w:line="276" w:lineRule="auto"/>
        <w:ind w:firstLine="0" w:left="0"/>
        <w:rPr>
          <w:rFonts w:eastAsia="Arial"/>
          <w:color w:val="000000"/>
          <w:sz w:val="24"/>
          <w:szCs w:val="24"/>
        </w:rPr>
      </w:pPr>
      <w:r>
        <w:rPr>
          <w:rFonts w:eastAsia="Arial"/>
          <w:color w:val="000000"/>
          <w:sz w:val="24"/>
          <w:szCs w:val="24"/>
        </w:rPr>
        <w:t xml:space="preserve">Adjudicar e firmar o contrato nas condições ofertadas pelos licitantes ou fornecedores remanescentes, atendida a ordem classificatória, quando frustrada a negociação de melhor condição.</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 </w:t>
      </w:r>
      <w:r>
        <w:rPr>
          <w:rFonts w:eastAsia="Arial"/>
          <w:color w:val="000000"/>
          <w:sz w:val="24"/>
          <w:szCs w:val="24"/>
        </w:rPr>
        <w:t xml:space="preserve">existência de preços registrados implicará compromisso de fornecimento nas condições estabelecidas, mas não obrigará a Administração a contratar, facultada a realização de licitação específica para a aquisição pretendida, desde que devidamente justificada.</w:t>
      </w:r>
      <w:r>
        <w:rPr>
          <w:rFonts w:eastAsia="Arial"/>
          <w:color w:val="000000"/>
          <w:sz w:val="24"/>
          <w:szCs w:val="24"/>
        </w:rPr>
      </w:r>
    </w:p>
    <w:p>
      <w:pPr>
        <w:pStyle w:val="1056"/>
        <w:keepNext w:val="true"/>
        <w:keepLines w:val="true"/>
        <w:numPr>
          <w:ilvl w:val="0"/>
          <w:numId w:val="11"/>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ALTERAÇÃO OU ATUALIZAÇÃO DOS PREÇOS REGISTRADOS</w:t>
      </w: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Os preços registrados poderão ser alterados ou atualizados em decorrência de eventual redução dos preços praticados no mercado ou de fato que eleve o custo dos bens, das obras ou dos serviços registrados, nas seguintes situações:</w:t>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Em caso de força maior, caso </w:t>
      </w:r>
      <w:r>
        <w:rPr>
          <w:rFonts w:eastAsia="Arial"/>
          <w:color w:val="000000"/>
          <w:sz w:val="24"/>
          <w:szCs w:val="24"/>
        </w:rPr>
        <w:t xml:space="preserve">fortuito ou fato do príncipe ou em decorrência de fatos imprevisíveis ou previsíveis de consequências incalculáveis, que inviabilizem a execução da ata tal como pactuada, nos termos da alínea “d” do inciso II do caput do art. 124 da Lei nº 14.133, de 2021;</w:t>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Em caso de criação, alteração ou extinção de quaisquer tributos ou encargos legais ou a superveniência de disposições legais, com comprovada repercussão sobre os preços registrados; </w:t>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Na hipótese de previsão no edital ou no aviso de contratação direta de cláusula de reajustamento ou repactuação sobre os preços registrados, nos termos da Lei nº 14.133, de 2021.</w:t>
      </w:r>
      <w:r>
        <w:rPr>
          <w:rFonts w:eastAsia="Arial"/>
          <w:color w:val="000000"/>
          <w:sz w:val="24"/>
          <w:szCs w:val="24"/>
        </w:rPr>
      </w:r>
    </w:p>
    <w:p>
      <w:pPr>
        <w:pStyle w:val="1056"/>
        <w:numPr>
          <w:ilvl w:val="3"/>
          <w:numId w:val="11"/>
        </w:numPr>
        <w:pBdr/>
        <w:spacing w:line="276" w:lineRule="auto"/>
        <w:ind w:firstLine="0" w:left="0"/>
        <w:rPr>
          <w:rFonts w:eastAsia="Arial"/>
          <w:color w:val="000000"/>
          <w:sz w:val="24"/>
          <w:szCs w:val="24"/>
        </w:rPr>
      </w:pPr>
      <w:r>
        <w:rPr>
          <w:rFonts w:eastAsia="Arial"/>
          <w:color w:val="000000"/>
          <w:sz w:val="24"/>
          <w:szCs w:val="24"/>
        </w:rPr>
        <w:t xml:space="preserve">No caso do reajustamento, deverá ser respeitada a contagem da anualidade e o índice previstos para a contratação;  </w:t>
      </w:r>
      <w:r>
        <w:rPr>
          <w:rFonts w:eastAsia="Arial"/>
          <w:color w:val="000000"/>
          <w:sz w:val="24"/>
          <w:szCs w:val="24"/>
        </w:rPr>
      </w:r>
    </w:p>
    <w:p>
      <w:pPr>
        <w:pStyle w:val="1056"/>
        <w:numPr>
          <w:ilvl w:val="3"/>
          <w:numId w:val="11"/>
        </w:numPr>
        <w:pBdr/>
        <w:spacing w:line="276" w:lineRule="auto"/>
        <w:ind w:firstLine="0" w:left="0"/>
        <w:rPr>
          <w:rFonts w:eastAsia="Arial"/>
          <w:color w:val="000000"/>
          <w:sz w:val="24"/>
          <w:szCs w:val="24"/>
        </w:rPr>
      </w:pPr>
      <w:r>
        <w:rPr>
          <w:rFonts w:eastAsia="Arial"/>
          <w:color w:val="000000"/>
          <w:sz w:val="24"/>
          <w:szCs w:val="24"/>
        </w:rPr>
        <w:t xml:space="preserve">No caso da repactuação, poderá ser a pedido do interessado, conforme critérios definidos para a contratação.</w:t>
      </w:r>
      <w:r>
        <w:rPr>
          <w:rFonts w:eastAsia="Arial"/>
          <w:color w:val="000000"/>
          <w:sz w:val="24"/>
          <w:szCs w:val="24"/>
        </w:rPr>
      </w:r>
    </w:p>
    <w:p>
      <w:pPr>
        <w:pStyle w:val="1056"/>
        <w:keepNext w:val="true"/>
        <w:keepLines w:val="true"/>
        <w:numPr>
          <w:ilvl w:val="0"/>
          <w:numId w:val="11"/>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NEGOCIAÇÃO DE PREÇOS REGISTRADOS</w:t>
      </w: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Na hipótese de o preço registrado tornar-se superior ao preço praticado no mercado por motivo superveniente, o órgão ou entidade gerenciadora convocará o fornecedor para negociar a redução do preço registrado.</w:t>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Caso não aceite reduzir seu preço aos valores praticados pelo mercado, o fornecedor será liberado do compromisso assumido quanto ao item registrado, sem aplicação de penalidades administrativas.</w:t>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Na hipótese prevista no i</w:t>
      </w:r>
      <w:r>
        <w:rPr>
          <w:rFonts w:eastAsia="Arial"/>
          <w:color w:val="000000"/>
          <w:sz w:val="24"/>
          <w:szCs w:val="24"/>
        </w:rPr>
        <w:t xml:space="preserve">tem anterior, o gerenciador convocará os fornecedores do cadastro de reserva, na ordem de classificação, para verificar se aceitam reduzir seus preços aos valores de mercado e não convocará os licitantes ou fornecedores que tiveram seu registro cancelado. </w:t>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Se não obtiver êxito nas negociações, o órgão ou entidade gerenciadora procederá ao cancelamento da ata de registro de preços, adotando as medidas cabíveis para obtenção de contratação mais vantajosa.</w:t>
      </w:r>
      <w:bookmarkStart w:id="83" w:name="bookmark=id.1gf8i83"/>
      <w:r/>
      <w:bookmarkEnd w:id="83"/>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Na hipótese de redução do preço registrado, o gerenciador comunicará aos órgãos e</w:t>
      </w:r>
      <w:r>
        <w:rPr>
          <w:rFonts w:eastAsia="Arial"/>
          <w:color w:val="000000"/>
          <w:sz w:val="24"/>
          <w:szCs w:val="24"/>
        </w:rPr>
        <w:t xml:space="preserve"> às entidades que tiverem firmado contratos decorrentes da ata de registro de preços para que avaliem a conveniência e a oportunidade de diligenciarem negociação com vistas à alteração contratual, observado o disposto no art. 124 da Lei nº 14.133, de 2021.</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Na hipótese de o preço de mercado tornar-se superior ao preço registrado </w:t>
      </w:r>
      <w:r>
        <w:rPr>
          <w:rFonts w:eastAsia="Arial"/>
          <w:color w:val="000000"/>
          <w:sz w:val="24"/>
          <w:szCs w:val="24"/>
        </w:rPr>
        <w:t xml:space="preserve">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84" w:name="bookmark=id.40ew0vw"/>
      <w:r/>
      <w:bookmarkEnd w:id="84"/>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Neste caso, o fornecedor encaminhará, juntamente com o pedido de alteração, a documentação comprobatória ou a planilha de custos que demonstre a inviabilidade do preço registrado em relação às condições inicialmente pactuadas.</w:t>
      </w:r>
      <w:bookmarkStart w:id="85" w:name="bookmark=id.2fk6b3p"/>
      <w:r/>
      <w:bookmarkEnd w:id="85"/>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Não hipótese de não comprovação da existência de fato superveniente que inviabilize o preço registrado, o pedido será indeferido </w:t>
      </w:r>
      <w:r>
        <w:rPr>
          <w:rFonts w:eastAsia="Arial"/>
          <w:color w:val="000000"/>
          <w:sz w:val="24"/>
          <w:szCs w:val="24"/>
        </w:rPr>
        <w:t xml:space="preserve">pelo órgão ou entidade gerenciadora e o fornecedor deverá cumprir as obrigações estabelecidas na ata, sob pena de cancelamento do seu registro, nos termos do item 9.1, sem prejuízo das sanções previstas na Lei nº 14.133, de 2021, e na legislação aplicável.</w:t>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Na hipótes</w:t>
      </w:r>
      <w:r>
        <w:rPr>
          <w:rFonts w:eastAsia="Arial"/>
          <w:color w:val="000000"/>
          <w:sz w:val="24"/>
          <w:szCs w:val="24"/>
        </w:rPr>
        <w:t xml:space="preserve">e de cancelamento do registro do fornecedor, nos termos do item anterior, o gerenciador convocará os fornecedores do cadastro de reserva, na ordem de classificação, para verificar se aceitam manter seus preços registrados, observado o disposto no item 5.7.</w:t>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Se não obtiver êxito nas negociações, o órgão ou entidade gerenciadora procederá ao cancelamento da ata de registro de preços, nos termos do item 9.4, e adotará as medidas cabíveis para a obtenção da contratação mais vantajosa.</w:t>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Na hipótese d</w:t>
      </w:r>
      <w:r>
        <w:rPr>
          <w:rFonts w:eastAsia="Arial"/>
          <w:color w:val="000000"/>
          <w:sz w:val="24"/>
          <w:szCs w:val="24"/>
        </w:rPr>
        <w:t xml:space="preserve">e comprovação da majoração do preço de mercado que inviabilize o preço registrado, conforme previsto no item 7.2 e no item 7.2.1, o órgão ou entidade gerenciadora atualizará o preço registrado, de acordo com a realidade dos valores praticados pelo mercado.</w:t>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 </w:t>
      </w:r>
      <w:r>
        <w:rPr>
          <w:rFonts w:eastAsia="Arial"/>
          <w:color w:val="000000"/>
          <w:sz w:val="24"/>
          <w:szCs w:val="24"/>
        </w:rPr>
        <w:t xml:space="preserve">O órgão ou entidade gerenciadora comunicará aos</w:t>
      </w:r>
      <w:r>
        <w:rPr>
          <w:rFonts w:eastAsia="Arial"/>
          <w:color w:val="000000"/>
          <w:sz w:val="24"/>
          <w:szCs w:val="24"/>
        </w:rPr>
        <w:t xml:space="preserve"> órgãos e às entidades que tiverem firmado contratos decorrentes da ata de registro de preços sobre a efetiva alteração do preço registrado, para que avaliem a necessidade de alteração contratual, observado o disposto no art. 124 da Lei nº 14.133, de 2021.</w:t>
      </w:r>
      <w:r>
        <w:rPr>
          <w:rFonts w:eastAsia="Arial"/>
          <w:color w:val="000000"/>
          <w:sz w:val="24"/>
          <w:szCs w:val="24"/>
        </w:rPr>
      </w:r>
    </w:p>
    <w:p>
      <w:pPr>
        <w:pStyle w:val="1056"/>
        <w:keepNext w:val="true"/>
        <w:keepLines w:val="true"/>
        <w:numPr>
          <w:ilvl w:val="0"/>
          <w:numId w:val="11"/>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REMANEJAMENTO DAS QUANTIDADES REGISTRADAS NA ATA DE REGISTRO DE PREÇOS</w:t>
      </w: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 </w:t>
      </w:r>
      <w:r>
        <w:rPr>
          <w:rFonts w:eastAsia="Arial"/>
          <w:color w:val="000000"/>
          <w:sz w:val="24"/>
          <w:szCs w:val="24"/>
        </w:rPr>
        <w:t xml:space="preserve">As quantidades previstas para os itens com preços registrados nas atas de registro de preços poderão ser remanejadas pelo órgão ou entidade gerenciadora entre os órgãos ou as entidades participantes e não participantes do registro de preços.</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 </w:t>
      </w:r>
      <w:r>
        <w:rPr>
          <w:rFonts w:eastAsia="Arial"/>
          <w:color w:val="000000"/>
          <w:sz w:val="24"/>
          <w:szCs w:val="24"/>
        </w:rPr>
        <w:t xml:space="preserve">O remanejamento somente poderá ser feito:</w:t>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De órgão ou entidade participante para órgão ou entidade participante; ou</w:t>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De órgão ou entidade participante para órgão ou entidade não participante.</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órgão ou entidade gerenciadora que tiver estimado as quantidades que pretende contratar será considerado participante para efeito do remanejamento.</w:t>
      </w:r>
      <w:bookmarkStart w:id="86" w:name="bookmark=id.upglbi"/>
      <w:r/>
      <w:bookmarkEnd w:id="86"/>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Na hipótese de remanejamento de órgão ou entidade participante para órgão ou entidade não participante, serão observados os limites previstos no art. 32 do Decreto nº 11.462, de 2023.</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Competirá ao órgão ou à en</w:t>
      </w:r>
      <w:r>
        <w:rPr>
          <w:rFonts w:eastAsia="Arial"/>
          <w:color w:val="000000"/>
          <w:sz w:val="24"/>
          <w:szCs w:val="24"/>
        </w:rPr>
        <w:t xml:space="preserve">tidade gerenciadora autorizar o remanejamento solicitado, com a redução do quantitativo inicialmente informado pelo órgão ou pela entidade participante, desde que haja prévia anuência do órgão ou da entidade que sofrer redução dos quantitativos informados.</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Caso o remanejamento seja feito entre órgãos ou entid</w:t>
      </w:r>
      <w:r>
        <w:rPr>
          <w:rFonts w:eastAsia="Arial"/>
          <w:color w:val="000000"/>
          <w:sz w:val="24"/>
          <w:szCs w:val="24"/>
        </w:rPr>
        <w:t xml:space="preserve">ades dos Estados, do Distrito Federal ou de Municípios distintos, caberá ao fornecedor beneficiário da ata de registro de preços, observadas as condições nela estabelecidas, optar pela aceitação ou não do fornecimento decorrente do remanejamento dos itens.</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Na hipótese da compra </w:t>
      </w:r>
      <w:r>
        <w:rPr>
          <w:rFonts w:eastAsia="Arial"/>
          <w:color w:val="000000"/>
          <w:sz w:val="24"/>
          <w:szCs w:val="24"/>
        </w:rPr>
        <w:t xml:space="preserve">centralizada, não havendo indicação pelo órgão ou pela entidade gerenciadora, dos quantitativos dos participantes da compra centralizada, nos termos do item 8.3, a distribuição das quantidades para a execução descentralizada será por meio do remanejamento.</w:t>
      </w:r>
      <w:r>
        <w:rPr>
          <w:rFonts w:eastAsia="Arial"/>
          <w:color w:val="000000"/>
          <w:sz w:val="24"/>
          <w:szCs w:val="24"/>
        </w:rPr>
      </w:r>
    </w:p>
    <w:p>
      <w:pPr>
        <w:pStyle w:val="1056"/>
        <w:keepNext w:val="true"/>
        <w:keepLines w:val="true"/>
        <w:numPr>
          <w:ilvl w:val="0"/>
          <w:numId w:val="11"/>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CANCELAMENTO DO REGISTRO DO LICITANTE VENCEDOR E DOS PREÇOS REGISTRADOS</w:t>
      </w:r>
      <w:bookmarkStart w:id="87" w:name="bookmark=id.3ep43zb"/>
      <w:r/>
      <w:bookmarkEnd w:id="87"/>
      <w:r/>
      <w:r/>
    </w:p>
    <w:p>
      <w:pPr>
        <w:pStyle w:val="1056"/>
        <w:pBdr/>
        <w:spacing/>
        <w:ind/>
        <w:rPr/>
      </w:pPr>
      <w: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registro do fornecedor será cancelado pelo gerenciador, quando o fornecedor:</w:t>
      </w:r>
      <w:bookmarkStart w:id="88" w:name="bookmark=id.1tuee74"/>
      <w:r/>
      <w:bookmarkEnd w:id="88"/>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Descumprir as condições da ata de registro de preços, sem motivo justificado;</w:t>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Não retirar a nota de empenho, ou instrumento equivalente, no prazo estabelecido pela Administração sem justificativa razoável;</w:t>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Não aceitar manter seu preço registrado, na hipótese prevista no artigo 27, § 2º, do Decreto nº 11.462, de 2023; ou</w:t>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 </w:t>
      </w:r>
      <w:r>
        <w:rPr>
          <w:rFonts w:eastAsia="Arial"/>
          <w:color w:val="000000"/>
          <w:sz w:val="24"/>
          <w:szCs w:val="24"/>
        </w:rPr>
        <w:t xml:space="preserve">Sofrer sanção prevista nos incisos III ou IV do caput do art. 156 da Lei nº 14.133, de 2021.</w:t>
      </w:r>
      <w:r>
        <w:rPr>
          <w:rFonts w:eastAsia="Arial"/>
          <w:color w:val="000000"/>
          <w:sz w:val="24"/>
          <w:szCs w:val="24"/>
        </w:rPr>
      </w:r>
    </w:p>
    <w:p>
      <w:pPr>
        <w:pStyle w:val="1056"/>
        <w:numPr>
          <w:ilvl w:val="3"/>
          <w:numId w:val="11"/>
        </w:numPr>
        <w:pBdr/>
        <w:tabs>
          <w:tab w:val="left" w:leader="none" w:pos="709"/>
          <w:tab w:val="clear" w:leader="none" w:pos="720"/>
          <w:tab w:val="left" w:leader="none" w:pos="851"/>
        </w:tabs>
        <w:spacing w:line="276" w:lineRule="auto"/>
        <w:ind w:firstLine="0" w:left="0"/>
        <w:rPr>
          <w:rFonts w:eastAsia="Arial"/>
          <w:color w:val="000000"/>
          <w:sz w:val="24"/>
          <w:szCs w:val="24"/>
        </w:rPr>
      </w:pPr>
      <w:r>
        <w:rPr>
          <w:rFonts w:eastAsia="Arial"/>
          <w:color w:val="000000"/>
          <w:sz w:val="24"/>
          <w:szCs w:val="24"/>
        </w:rPr>
        <w:t xml:space="preserve">Na hipótese de aplicação de sanção prevista nos incisos III ou IV do caput do art. 156 da Lei nº 14.133, de 2021, caso a penalidade aplicada ao fornecedor não ultrapasse o</w:t>
      </w:r>
      <w:r>
        <w:rPr>
          <w:rFonts w:eastAsia="Arial"/>
          <w:color w:val="000000"/>
          <w:sz w:val="24"/>
          <w:szCs w:val="24"/>
        </w:rPr>
        <w:t xml:space="preserve"> prazo de vigência da ata de registro de preços, poderá o órgão ou a entidade gerenciadora poderá, mediante decisão fundamentada, decidir pela manutenção do registro de preços, vedadas contratações derivadas da ata enquanto perdurarem os efeitos da sanção.</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 </w:t>
      </w:r>
      <w:r>
        <w:rPr>
          <w:rFonts w:eastAsia="Arial"/>
          <w:color w:val="000000"/>
          <w:sz w:val="24"/>
          <w:szCs w:val="24"/>
        </w:rPr>
        <w:t xml:space="preserve">O cancelamento de registros nas hipóteses previstas no item 9.1 será formalizado por despacho do órgão ou da entidade gerenciadora, garantidos os princípios do contraditório e da ampla defesa.</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Na hipótese de cancelamento do registro do fornecedor, o órgão ou a entidade gerenciadora poderá convocar os licitantes que compõem o cadastro de reserva, observada a ordem de classificação.</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cancelamento dos preços registrados poderá ser realizado pelo gerenciador, em determinada ata de registro de preços, total ou parcialmente, nas seguintes hipóteses, desde que devidamente comprovadas e justificadas:</w:t>
      </w:r>
      <w:bookmarkStart w:id="89" w:name="bookmark=id.4du1wux"/>
      <w:r/>
      <w:bookmarkEnd w:id="89"/>
      <w:r>
        <w:rPr>
          <w:rFonts w:eastAsia="Arial"/>
          <w:color w:val="000000"/>
          <w:sz w:val="24"/>
          <w:szCs w:val="24"/>
        </w:rPr>
        <w:t xml:space="preserve"> </w:t>
      </w:r>
      <w:r>
        <w:rPr>
          <w:rFonts w:eastAsia="Arial"/>
          <w:color w:val="000000"/>
          <w:sz w:val="24"/>
          <w:szCs w:val="24"/>
        </w:rPr>
      </w:r>
    </w:p>
    <w:p>
      <w:pPr>
        <w:pStyle w:val="1056"/>
        <w:numPr>
          <w:ilvl w:val="2"/>
          <w:numId w:val="11"/>
        </w:numPr>
        <w:pBdr/>
        <w:tabs>
          <w:tab w:val="clear" w:leader="none" w:pos="720"/>
          <w:tab w:val="left" w:leader="none" w:pos="851"/>
          <w:tab w:val="left" w:leader="none" w:pos="1134"/>
        </w:tabs>
        <w:spacing w:line="276" w:lineRule="auto"/>
        <w:ind w:firstLine="0" w:left="0"/>
        <w:rPr>
          <w:rFonts w:eastAsia="Arial"/>
          <w:color w:val="000000"/>
          <w:sz w:val="24"/>
          <w:szCs w:val="24"/>
        </w:rPr>
      </w:pPr>
      <w:r>
        <w:rPr>
          <w:rFonts w:eastAsia="Arial"/>
          <w:color w:val="000000"/>
          <w:sz w:val="24"/>
          <w:szCs w:val="24"/>
        </w:rPr>
        <w:t xml:space="preserve">Por razão de interesse público;</w:t>
      </w:r>
      <w:r>
        <w:rPr>
          <w:rFonts w:eastAsia="Arial"/>
          <w:color w:val="000000"/>
          <w:sz w:val="24"/>
          <w:szCs w:val="24"/>
        </w:rPr>
      </w:r>
    </w:p>
    <w:p>
      <w:pPr>
        <w:pStyle w:val="1056"/>
        <w:numPr>
          <w:ilvl w:val="2"/>
          <w:numId w:val="11"/>
        </w:numPr>
        <w:pBdr/>
        <w:tabs>
          <w:tab w:val="clear" w:leader="none" w:pos="720"/>
          <w:tab w:val="left" w:leader="none" w:pos="851"/>
          <w:tab w:val="left" w:leader="none" w:pos="1134"/>
        </w:tabs>
        <w:spacing w:line="276" w:lineRule="auto"/>
        <w:ind w:firstLine="0" w:left="0"/>
        <w:rPr>
          <w:rFonts w:eastAsia="Arial"/>
          <w:color w:val="000000"/>
          <w:sz w:val="24"/>
          <w:szCs w:val="24"/>
        </w:rPr>
      </w:pPr>
      <w:r>
        <w:rPr>
          <w:rFonts w:eastAsia="Arial"/>
          <w:color w:val="000000"/>
          <w:sz w:val="24"/>
          <w:szCs w:val="24"/>
        </w:rPr>
        <w:t xml:space="preserve">A pedido do fornecedor, decorrente de caso fortuito ou força maior; ou</w:t>
      </w:r>
      <w:r>
        <w:rPr>
          <w:rFonts w:eastAsia="Arial"/>
          <w:color w:val="000000"/>
          <w:sz w:val="24"/>
          <w:szCs w:val="24"/>
        </w:rPr>
      </w:r>
    </w:p>
    <w:p>
      <w:pPr>
        <w:pStyle w:val="1056"/>
        <w:numPr>
          <w:ilvl w:val="2"/>
          <w:numId w:val="11"/>
        </w:numPr>
        <w:pBdr/>
        <w:tabs>
          <w:tab w:val="clear" w:leader="none" w:pos="720"/>
          <w:tab w:val="left" w:leader="none" w:pos="851"/>
          <w:tab w:val="left" w:leader="none" w:pos="1134"/>
        </w:tabs>
        <w:spacing w:line="276" w:lineRule="auto"/>
        <w:ind w:firstLine="0" w:left="0"/>
        <w:rPr>
          <w:rFonts w:eastAsia="Arial"/>
          <w:color w:val="000000"/>
          <w:sz w:val="24"/>
          <w:szCs w:val="24"/>
        </w:rPr>
      </w:pPr>
      <w:r>
        <w:rPr>
          <w:rFonts w:eastAsia="Arial"/>
          <w:color w:val="000000"/>
          <w:sz w:val="24"/>
          <w:szCs w:val="24"/>
        </w:rPr>
        <w:t xml:space="preserve">Se não houver êxito nas negociações, nas hipóteses em que o preço de mercado tornar-se superior ou inferior ao preço registrado, nos termos dos artigos 26, § 3º e 27, § 4º, ambos do Decreto nº 11.462, de 2023. </w:t>
      </w:r>
      <w:r>
        <w:rPr>
          <w:rFonts w:eastAsia="Arial"/>
          <w:color w:val="000000"/>
          <w:sz w:val="24"/>
          <w:szCs w:val="24"/>
        </w:rPr>
      </w:r>
    </w:p>
    <w:p>
      <w:pPr>
        <w:pStyle w:val="1056"/>
        <w:keepNext w:val="true"/>
        <w:keepLines w:val="true"/>
        <w:numPr>
          <w:ilvl w:val="0"/>
          <w:numId w:val="11"/>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DAS PENALIDADES</w:t>
      </w: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descumprimento da Ata de Registro de Preços ensejará aplicação das penalidades estabelecidas </w:t>
      </w:r>
      <w:r>
        <w:rPr>
          <w:rFonts w:eastAsia="Arial"/>
          <w:i/>
          <w:color w:val="000000"/>
          <w:sz w:val="24"/>
          <w:szCs w:val="24"/>
        </w:rPr>
        <w:t xml:space="preserve">no edital</w:t>
      </w:r>
      <w:r>
        <w:rPr>
          <w:rFonts w:eastAsia="Arial"/>
          <w:color w:val="000000"/>
          <w:sz w:val="24"/>
          <w:szCs w:val="24"/>
        </w:rPr>
        <w:t xml:space="preserve">.</w:t>
      </w:r>
      <w:r>
        <w:rPr>
          <w:rFonts w:eastAsia="Arial"/>
          <w:color w:val="000000"/>
          <w:sz w:val="24"/>
          <w:szCs w:val="24"/>
        </w:rPr>
      </w:r>
    </w:p>
    <w:p>
      <w:pPr>
        <w:pStyle w:val="1056"/>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As sanções também se aplicam aos integrantes do cadastro de reserva no registro de preços que, convocados, não honrarem o compromisso assumido injustificadamente após terem assinado a ata. </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É da competência do gerenciador a aplicação das penalidades decorrentes do descumprimento do pactuado nesta ata de registro de preço (art. 7º, inc. XIV, do Decreto nº 11.46</w:t>
      </w:r>
      <w:r>
        <w:rPr>
          <w:rFonts w:eastAsia="Arial"/>
          <w:color w:val="000000"/>
          <w:sz w:val="24"/>
          <w:szCs w:val="24"/>
        </w:rPr>
        <w:t xml:space="preserve">2, de 2023), exceto nas hipóteses em que o descumprimento disser respeito às contratações dos órgãos ou entidade participante, caso no qual caberá ao respectivo órgão participante a aplicação da penalidade (art. 8º, inc. IX, do Decreto nº 11.462, de 2023).</w:t>
      </w:r>
      <w:r>
        <w:rPr>
          <w:rFonts w:eastAsia="Arial"/>
          <w:color w:val="000000"/>
          <w:sz w:val="24"/>
          <w:szCs w:val="24"/>
        </w:rP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órgão ou entidade participante deverá comunicar ao órgão gerenciador qualquer das ocorrências previstas no item 9.1, dada a necessidade de instauração de procedimento para cancelamento do registro do fornecedor.</w:t>
      </w:r>
      <w:r>
        <w:rPr>
          <w:rFonts w:eastAsia="Arial"/>
          <w:color w:val="000000"/>
          <w:sz w:val="24"/>
          <w:szCs w:val="24"/>
        </w:rPr>
      </w:r>
    </w:p>
    <w:p>
      <w:pPr>
        <w:pStyle w:val="1056"/>
        <w:keepNext w:val="true"/>
        <w:keepLines w:val="true"/>
        <w:numPr>
          <w:ilvl w:val="0"/>
          <w:numId w:val="11"/>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CONDIÇÕES GERAIS</w:t>
      </w:r>
      <w:r/>
    </w:p>
    <w:p>
      <w:pPr>
        <w:pStyle w:val="1056"/>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I </w:t>
      </w:r>
      <w:r>
        <w:rPr>
          <w:rFonts w:eastAsia="Arial"/>
          <w:i/>
          <w:color w:val="000000"/>
          <w:sz w:val="24"/>
          <w:szCs w:val="24"/>
        </w:rPr>
        <w:t xml:space="preserve">AO EDITAL</w:t>
      </w:r>
      <w:r>
        <w:rPr>
          <w:rFonts w:eastAsia="Arial"/>
          <w:color w:val="000000"/>
          <w:sz w:val="24"/>
          <w:szCs w:val="24"/>
        </w:rPr>
        <w:t xml:space="preserve">.</w:t>
      </w:r>
      <w:r>
        <w:rPr>
          <w:rFonts w:eastAsia="Arial"/>
          <w:color w:val="000000"/>
          <w:sz w:val="24"/>
          <w:szCs w:val="24"/>
        </w:rPr>
      </w:r>
    </w:p>
    <w:p>
      <w:pPr>
        <w:pStyle w:val="1056"/>
        <w:numPr>
          <w:ilvl w:val="1"/>
          <w:numId w:val="11"/>
        </w:numPr>
        <w:pBdr/>
        <w:spacing w:line="276" w:lineRule="auto"/>
        <w:ind w:firstLine="0" w:left="0"/>
        <w:rPr>
          <w:rFonts w:eastAsia="Arial"/>
          <w:i/>
          <w:color w:val="000000"/>
          <w:sz w:val="24"/>
          <w:szCs w:val="24"/>
        </w:rPr>
      </w:pPr>
      <w:r>
        <w:rPr>
          <w:rFonts w:eastAsia="Arial"/>
          <w:i/>
          <w:color w:val="000000"/>
          <w:sz w:val="24"/>
          <w:szCs w:val="24"/>
        </w:rPr>
        <w:t xml:space="preserve">No caso de adjudicação por preço global de grupo de itens, só será admitida a contratação de parte de itens do grupo se houver prévia pesquisa de mercado e demonstração de sua vantagem para o órgão ou a entidade.</w:t>
      </w:r>
      <w:r>
        <w:rPr>
          <w:rFonts w:eastAsia="Arial"/>
          <w:i/>
          <w:color w:val="000000"/>
          <w:sz w:val="24"/>
          <w:szCs w:val="24"/>
        </w:rPr>
      </w:r>
    </w:p>
    <w:p>
      <w:pPr>
        <w:pStyle w:val="1056"/>
        <w:widowControl w:val="false"/>
        <w:pBdr/>
        <w:spacing w:line="276" w:lineRule="auto"/>
        <w:ind/>
        <w:rPr>
          <w:i/>
          <w:sz w:val="24"/>
          <w:szCs w:val="24"/>
        </w:rPr>
      </w:pPr>
      <w:r>
        <w:rPr>
          <w:sz w:val="24"/>
          <w:szCs w:val="24"/>
        </w:rPr>
        <w:t xml:space="preserve">Para firmeza e validade do pactuado, a presente Ata foi lavrada em .... (....) vias de igual teor, que, depois de lida e achada em ordem, vai assinada pelas partes </w:t>
      </w:r>
      <w:r>
        <w:rPr>
          <w:i/>
          <w:sz w:val="24"/>
          <w:szCs w:val="24"/>
        </w:rPr>
        <w:t xml:space="preserve">e encaminhada cópia aos demais órgãos participantes (se houver). </w:t>
      </w:r>
      <w:r>
        <w:rPr>
          <w:i/>
          <w:sz w:val="24"/>
          <w:szCs w:val="24"/>
        </w:rPr>
      </w:r>
    </w:p>
    <w:p>
      <w:pPr>
        <w:pStyle w:val="1056"/>
        <w:widowControl w:val="false"/>
        <w:pBdr/>
        <w:spacing w:line="360" w:lineRule="auto"/>
        <w:ind w:right="-30"/>
        <w:jc w:val="center"/>
        <w:rPr>
          <w:sz w:val="24"/>
          <w:szCs w:val="24"/>
        </w:rPr>
      </w:pPr>
      <w:r>
        <w:rPr>
          <w:sz w:val="24"/>
          <w:szCs w:val="24"/>
        </w:rPr>
      </w:r>
      <w:r>
        <w:rPr>
          <w:sz w:val="24"/>
          <w:szCs w:val="24"/>
        </w:rPr>
      </w:r>
    </w:p>
    <w:p>
      <w:pPr>
        <w:pStyle w:val="1056"/>
        <w:widowControl w:val="false"/>
        <w:pBdr/>
        <w:spacing w:after="0" w:before="0"/>
        <w:ind w:right="-30"/>
        <w:jc w:val="center"/>
        <w:rPr>
          <w:sz w:val="24"/>
          <w:szCs w:val="24"/>
        </w:rPr>
      </w:pPr>
      <w:r>
        <w:rPr>
          <w:sz w:val="24"/>
          <w:szCs w:val="24"/>
        </w:rPr>
        <w:t xml:space="preserve">Local e data</w:t>
      </w:r>
      <w:r>
        <w:rPr>
          <w:sz w:val="24"/>
          <w:szCs w:val="24"/>
        </w:rPr>
      </w:r>
    </w:p>
    <w:p>
      <w:pPr>
        <w:pStyle w:val="1056"/>
        <w:widowControl w:val="false"/>
        <w:pBdr/>
        <w:spacing w:after="0" w:before="0"/>
        <w:ind w:right="-30"/>
        <w:jc w:val="center"/>
        <w:rPr>
          <w:sz w:val="24"/>
          <w:szCs w:val="24"/>
        </w:rPr>
      </w:pPr>
      <w:r>
        <w:rPr>
          <w:sz w:val="24"/>
          <w:szCs w:val="24"/>
        </w:rPr>
        <w:t xml:space="preserve">Assinaturas</w:t>
      </w:r>
      <w:r>
        <w:rPr>
          <w:sz w:val="24"/>
          <w:szCs w:val="24"/>
        </w:rPr>
      </w:r>
    </w:p>
    <w:p>
      <w:pPr>
        <w:pStyle w:val="1056"/>
        <w:widowControl w:val="false"/>
        <w:pBdr/>
        <w:spacing w:line="360" w:lineRule="auto"/>
        <w:ind w:right="-30"/>
        <w:jc w:val="center"/>
        <w:rPr>
          <w:sz w:val="24"/>
          <w:szCs w:val="24"/>
        </w:rPr>
      </w:pPr>
      <w:r>
        <w:rPr>
          <w:sz w:val="24"/>
          <w:szCs w:val="24"/>
        </w:rPr>
      </w:r>
      <w:r>
        <w:rPr>
          <w:sz w:val="24"/>
          <w:szCs w:val="24"/>
        </w:rPr>
      </w:r>
    </w:p>
    <w:p>
      <w:pPr>
        <w:pStyle w:val="1056"/>
        <w:widowControl w:val="false"/>
        <w:pBdr/>
        <w:spacing w:line="360" w:lineRule="auto"/>
        <w:ind w:right="-30"/>
        <w:jc w:val="center"/>
        <w:rPr>
          <w:sz w:val="24"/>
          <w:szCs w:val="24"/>
        </w:rPr>
      </w:pPr>
      <w:r>
        <w:rPr>
          <w:sz w:val="24"/>
          <w:szCs w:val="24"/>
        </w:rPr>
        <w:t xml:space="preserve">Representante legal do órgão gerenciador e representante(s) legal(is) do(s) fornecedor(s) registrado(s)</w:t>
      </w:r>
      <w:r>
        <w:rPr>
          <w:sz w:val="24"/>
          <w:szCs w:val="24"/>
        </w:rPr>
      </w:r>
    </w:p>
    <w:p>
      <w:pPr>
        <w:pStyle w:val="1056"/>
        <w:widowControl w:val="false"/>
        <w:pBdr/>
        <w:spacing w:line="360" w:lineRule="auto"/>
        <w:ind w:right="-30"/>
        <w:jc w:val="center"/>
        <w:rPr>
          <w:sz w:val="24"/>
          <w:szCs w:val="24"/>
        </w:rPr>
      </w:pPr>
      <w:r>
        <w:rPr>
          <w:sz w:val="24"/>
          <w:szCs w:val="24"/>
        </w:rPr>
      </w:r>
      <w:r>
        <w:rPr>
          <w:sz w:val="24"/>
          <w:szCs w:val="24"/>
        </w:rPr>
      </w:r>
    </w:p>
    <w:p>
      <w:pPr>
        <w:pStyle w:val="1056"/>
        <w:widowControl w:val="false"/>
        <w:pBdr/>
        <w:spacing w:line="360" w:lineRule="auto"/>
        <w:ind w:right="-30"/>
        <w:jc w:val="center"/>
        <w:rPr>
          <w:sz w:val="24"/>
          <w:szCs w:val="24"/>
        </w:rPr>
      </w:pPr>
      <w:r>
        <w:rPr>
          <w:sz w:val="24"/>
          <w:szCs w:val="24"/>
        </w:rPr>
      </w:r>
      <w:r>
        <w:rPr>
          <w:sz w:val="24"/>
          <w:szCs w:val="24"/>
        </w:rPr>
      </w:r>
    </w:p>
    <w:p>
      <w:pPr>
        <w:pStyle w:val="1056"/>
        <w:widowControl w:val="false"/>
        <w:pBdr/>
        <w:spacing w:line="360" w:lineRule="auto"/>
        <w:ind w:right="-30"/>
        <w:jc w:val="center"/>
        <w:rPr>
          <w:sz w:val="24"/>
          <w:szCs w:val="24"/>
        </w:rPr>
      </w:pPr>
      <w:r>
        <w:rPr>
          <w:sz w:val="24"/>
          <w:szCs w:val="24"/>
        </w:rPr>
      </w:r>
      <w:r>
        <w:rPr>
          <w:sz w:val="24"/>
          <w:szCs w:val="24"/>
        </w:rPr>
      </w:r>
    </w:p>
    <w:p>
      <w:pPr>
        <w:pStyle w:val="1056"/>
        <w:widowControl w:val="false"/>
        <w:pBdr/>
        <w:spacing w:line="360" w:lineRule="auto"/>
        <w:ind w:right="-30"/>
        <w:jc w:val="center"/>
        <w:rPr>
          <w:sz w:val="24"/>
          <w:szCs w:val="24"/>
        </w:rPr>
      </w:pPr>
      <w:r>
        <w:rPr>
          <w:sz w:val="24"/>
          <w:szCs w:val="24"/>
        </w:rPr>
      </w:r>
      <w:r>
        <w:rPr>
          <w:sz w:val="24"/>
          <w:szCs w:val="24"/>
        </w:rPr>
      </w:r>
    </w:p>
    <w:p>
      <w:pPr>
        <w:pStyle w:val="1056"/>
        <w:widowControl w:val="false"/>
        <w:pBdr/>
        <w:spacing w:line="360" w:lineRule="auto"/>
        <w:ind w:right="-30"/>
        <w:jc w:val="center"/>
        <w:rPr>
          <w:sz w:val="24"/>
          <w:szCs w:val="24"/>
        </w:rPr>
      </w:pPr>
      <w:r>
        <w:rPr>
          <w:sz w:val="24"/>
          <w:szCs w:val="24"/>
        </w:rPr>
      </w:r>
      <w:r>
        <w:rPr>
          <w:sz w:val="24"/>
          <w:szCs w:val="24"/>
        </w:rPr>
      </w:r>
    </w:p>
    <w:p>
      <w:pPr>
        <w:pStyle w:val="1056"/>
        <w:pBdr/>
        <w:spacing/>
        <w:ind/>
        <w:jc w:val="center"/>
        <w:rPr>
          <w:b/>
          <w:sz w:val="24"/>
          <w:szCs w:val="24"/>
        </w:rPr>
      </w:pPr>
      <w:r>
        <w:rPr>
          <w:b/>
          <w:sz w:val="24"/>
          <w:szCs w:val="24"/>
        </w:rPr>
        <w:t xml:space="preserve">ANEXO V – MINUTA DO CADASTRO DE RESERVA</w:t>
      </w:r>
      <w:r>
        <w:rPr>
          <w:b/>
          <w:sz w:val="24"/>
          <w:szCs w:val="24"/>
        </w:rPr>
      </w:r>
    </w:p>
    <w:p>
      <w:pPr>
        <w:pStyle w:val="1056"/>
        <w:widowControl w:val="false"/>
        <w:pBdr/>
        <w:spacing w:line="360" w:lineRule="auto"/>
        <w:ind w:right="-30"/>
        <w:jc w:val="center"/>
        <w:rPr>
          <w:sz w:val="20"/>
          <w:szCs w:val="20"/>
        </w:rPr>
      </w:pPr>
      <w:r>
        <w:rPr>
          <w:sz w:val="20"/>
          <w:szCs w:val="20"/>
        </w:rPr>
      </w:r>
      <w:r>
        <w:rPr>
          <w:sz w:val="20"/>
          <w:szCs w:val="20"/>
        </w:rPr>
      </w:r>
    </w:p>
    <w:p>
      <w:pPr>
        <w:pStyle w:val="1056"/>
        <w:widowControl w:val="false"/>
        <w:pBdr/>
        <w:spacing w:line="360" w:lineRule="auto"/>
        <w:ind w:right="-30"/>
        <w:jc w:val="center"/>
        <w:rPr>
          <w:sz w:val="20"/>
          <w:szCs w:val="20"/>
        </w:rPr>
      </w:pPr>
      <w:r>
        <w:rPr>
          <w:sz w:val="20"/>
          <w:szCs w:val="20"/>
        </w:rPr>
        <w:t xml:space="preserve">Cadastro Reserva</w:t>
      </w:r>
      <w:r>
        <w:rPr>
          <w:sz w:val="20"/>
          <w:szCs w:val="20"/>
        </w:rPr>
      </w:r>
    </w:p>
    <w:p>
      <w:pPr>
        <w:pStyle w:val="1056"/>
        <w:widowControl w:val="false"/>
        <w:pBdr/>
        <w:spacing w:line="360" w:lineRule="auto"/>
        <w:ind w:right="-30"/>
        <w:jc w:val="center"/>
        <w:rPr>
          <w:sz w:val="20"/>
          <w:szCs w:val="20"/>
        </w:rPr>
      </w:pPr>
      <w:r>
        <w:rPr>
          <w:sz w:val="20"/>
          <w:szCs w:val="20"/>
        </w:rPr>
      </w:r>
      <w:r>
        <w:rPr>
          <w:sz w:val="20"/>
          <w:szCs w:val="20"/>
        </w:rPr>
      </w:r>
    </w:p>
    <w:p>
      <w:pPr>
        <w:pStyle w:val="1056"/>
        <w:widowControl w:val="false"/>
        <w:pBdr/>
        <w:spacing w:line="360" w:lineRule="auto"/>
        <w:ind w:right="-30"/>
        <w:jc w:val="center"/>
        <w:rPr>
          <w:sz w:val="20"/>
          <w:szCs w:val="20"/>
        </w:rPr>
      </w:pPr>
      <w:r>
        <w:rPr>
          <w:sz w:val="20"/>
          <w:szCs w:val="20"/>
        </w:rPr>
        <w:t xml:space="preserve">Seguindo a ordem de classificação, segue relação de fornecedores que aceitaram cotar os itens com preços iguais ao adjudicatário:</w:t>
      </w:r>
      <w:r>
        <w:rPr>
          <w:sz w:val="20"/>
          <w:szCs w:val="20"/>
        </w:rPr>
      </w:r>
    </w:p>
    <w:p>
      <w:pPr>
        <w:pStyle w:val="1056"/>
        <w:widowControl w:val="false"/>
        <w:pBdr/>
        <w:spacing w:line="360" w:lineRule="auto"/>
        <w:ind w:right="-30"/>
        <w:jc w:val="center"/>
        <w:rPr>
          <w:sz w:val="20"/>
          <w:szCs w:val="20"/>
        </w:rPr>
      </w:pPr>
      <w:r>
        <w:rPr>
          <w:sz w:val="20"/>
          <w:szCs w:val="20"/>
        </w:rPr>
      </w:r>
      <w:r>
        <w:rPr>
          <w:sz w:val="20"/>
          <w:szCs w:val="20"/>
        </w:rPr>
      </w:r>
    </w:p>
    <w:tbl>
      <w:tblPr>
        <w:tblStyle w:val="1386"/>
        <w:tblInd w:w="-397" w:type="dxa"/>
        <w:tblW w:w="10034" w:type="dxa"/>
        <w:tblCellMar>
          <w:left w:w="5" w:type="dxa"/>
          <w:top w:w="0" w:type="dxa"/>
          <w:right w:w="5" w:type="dxa"/>
          <w:bottom w:w="0" w:type="dxa"/>
        </w:tblCellMar>
        <w:tblBorders/>
        <w:tblLayout w:type="fixed"/>
        <w:tblLook w:val="0000" w:firstRow="0" w:lastRow="0" w:firstColumn="0" w:lastColumn="0" w:noHBand="0" w:noVBand="0"/>
      </w:tblPr>
      <w:tblGrid>
        <w:gridCol w:w="847"/>
        <w:gridCol w:w="1373"/>
        <w:gridCol w:w="1256"/>
        <w:gridCol w:w="1538"/>
        <w:gridCol w:w="1125"/>
        <w:gridCol w:w="1115"/>
        <w:gridCol w:w="850"/>
        <w:gridCol w:w="848"/>
        <w:gridCol w:w="1082"/>
      </w:tblGrid>
      <w:tr>
        <w:trPr>
          <w:trHeight w:val="511"/>
        </w:trPr>
        <w:tc>
          <w:tcPr>
            <w:tcBorders>
              <w:top w:val="single" w:color="000000" w:sz="4" w:space="0"/>
              <w:left w:val="single" w:color="000000" w:sz="4" w:space="0"/>
              <w:bottom w:val="single" w:color="000000" w:sz="4" w:space="0"/>
              <w:right w:val="single" w:color="000000" w:sz="4" w:space="0"/>
            </w:tcBorders>
            <w:tcW w:w="847" w:type="dxa"/>
            <w:vAlign w:val="center"/>
            <w:textDirection w:val="lrTb"/>
            <w:noWrap w:val="false"/>
          </w:tcPr>
          <w:p>
            <w:pPr>
              <w:pStyle w:val="1056"/>
              <w:widowControl w:val="false"/>
              <w:pBdr/>
              <w:spacing w:after="120" w:before="120" w:line="360" w:lineRule="auto"/>
              <w:ind w:right="-30"/>
              <w:jc w:val="center"/>
              <w:rPr>
                <w:sz w:val="20"/>
                <w:szCs w:val="20"/>
              </w:rPr>
            </w:pPr>
            <w:r>
              <w:rPr>
                <w:rFonts w:cs="Arial"/>
                <w:sz w:val="20"/>
                <w:szCs w:val="20"/>
                <w:lang w:val="pt-BR" w:eastAsia="pt-BR" w:bidi="ar-SA"/>
              </w:rPr>
              <w:t xml:space="preserve">Item</w:t>
            </w:r>
            <w:r>
              <w:rPr>
                <w:sz w:val="20"/>
                <w:szCs w:val="20"/>
              </w:rPr>
            </w:r>
          </w:p>
          <w:p>
            <w:pPr>
              <w:pStyle w:val="1056"/>
              <w:widowControl w:val="false"/>
              <w:pBdr/>
              <w:spacing w:line="360" w:lineRule="auto"/>
              <w:ind w:right="-30"/>
              <w:jc w:val="center"/>
              <w:rPr>
                <w:sz w:val="20"/>
                <w:szCs w:val="20"/>
              </w:rPr>
            </w:pPr>
            <w:r>
              <w:rPr>
                <w:rFonts w:cs="Arial"/>
                <w:sz w:val="20"/>
                <w:szCs w:val="20"/>
                <w:lang w:val="pt-BR" w:eastAsia="pt-BR" w:bidi="ar-SA"/>
              </w:rPr>
              <w:t xml:space="preserve">do</w:t>
            </w:r>
            <w:r>
              <w:rPr>
                <w:sz w:val="20"/>
                <w:szCs w:val="20"/>
              </w:rPr>
            </w:r>
          </w:p>
          <w:p>
            <w:pPr>
              <w:pStyle w:val="1056"/>
              <w:widowControl w:val="false"/>
              <w:pBdr/>
              <w:spacing w:after="120" w:before="120" w:line="360" w:lineRule="auto"/>
              <w:ind w:right="-30"/>
              <w:jc w:val="center"/>
              <w:rPr>
                <w:sz w:val="20"/>
                <w:szCs w:val="20"/>
              </w:rPr>
            </w:pPr>
            <w:r>
              <w:rPr>
                <w:rFonts w:cs="Arial"/>
                <w:sz w:val="20"/>
                <w:szCs w:val="20"/>
                <w:lang w:val="pt-BR" w:eastAsia="pt-BR" w:bidi="ar-SA"/>
              </w:rPr>
              <w:t xml:space="preserve">TR</w:t>
            </w:r>
            <w:r>
              <w:rPr>
                <w:sz w:val="20"/>
                <w:szCs w:val="20"/>
              </w:rPr>
            </w:r>
          </w:p>
        </w:tc>
        <w:tc>
          <w:tcPr>
            <w:gridSpan w:val="8"/>
            <w:tcBorders>
              <w:top w:val="single" w:color="000000" w:sz="4" w:space="0"/>
              <w:left w:val="single" w:color="000000" w:sz="4" w:space="0"/>
              <w:bottom w:val="single" w:color="000000" w:sz="4" w:space="0"/>
              <w:right w:val="single" w:color="000000" w:sz="4" w:space="0"/>
            </w:tcBorders>
            <w:tcW w:w="9187" w:type="dxa"/>
            <w:textDirection w:val="lrTb"/>
            <w:noWrap w:val="false"/>
          </w:tcPr>
          <w:p>
            <w:pPr>
              <w:pStyle w:val="1056"/>
              <w:widowControl w:val="false"/>
              <w:pBdr/>
              <w:spacing w:after="120" w:before="120" w:line="360" w:lineRule="auto"/>
              <w:ind w:right="-30"/>
              <w:jc w:val="center"/>
              <w:rPr>
                <w:i/>
                <w:sz w:val="20"/>
                <w:szCs w:val="20"/>
              </w:rPr>
            </w:pPr>
            <w:r>
              <w:rPr>
                <w:rFonts w:cs="Arial"/>
                <w:sz w:val="20"/>
                <w:szCs w:val="20"/>
                <w:lang w:val="pt-BR" w:eastAsia="pt-BR" w:bidi="ar-SA"/>
              </w:rPr>
              <w:t xml:space="preserve">Fornecedor </w:t>
            </w:r>
            <w:r>
              <w:rPr>
                <w:rFonts w:cs="Arial"/>
                <w:i/>
                <w:sz w:val="20"/>
                <w:szCs w:val="20"/>
                <w:lang w:val="pt-BR" w:eastAsia="pt-BR" w:bidi="ar-SA"/>
              </w:rPr>
              <w:t xml:space="preserve">(razão social, CNPJ/MF, endereço, contatos, representante)</w:t>
            </w:r>
            <w:r>
              <w:rPr>
                <w:i/>
                <w:sz w:val="20"/>
                <w:szCs w:val="20"/>
              </w:rPr>
            </w:r>
          </w:p>
          <w:p>
            <w:pPr>
              <w:pStyle w:val="1056"/>
              <w:widowControl w:val="false"/>
              <w:pBdr/>
              <w:spacing w:after="120" w:before="120" w:line="360" w:lineRule="auto"/>
              <w:ind w:right="-30"/>
              <w:jc w:val="center"/>
              <w:rPr>
                <w:sz w:val="20"/>
                <w:szCs w:val="20"/>
              </w:rPr>
            </w:pPr>
            <w:r>
              <w:rPr>
                <w:sz w:val="20"/>
                <w:szCs w:val="20"/>
              </w:rPr>
            </w:r>
            <w:r>
              <w:rPr>
                <w:sz w:val="20"/>
                <w:szCs w:val="20"/>
              </w:rPr>
            </w:r>
          </w:p>
        </w:tc>
      </w:tr>
      <w:tr>
        <w:trPr>
          <w:trHeight w:val="674"/>
        </w:trPr>
        <w:tc>
          <w:tcPr>
            <w:tcBorders>
              <w:left w:val="single" w:color="000000" w:sz="4" w:space="0"/>
              <w:bottom w:val="single" w:color="000000" w:sz="4" w:space="0"/>
            </w:tcBorders>
            <w:tcW w:w="847" w:type="dxa"/>
            <w:vAlign w:val="center"/>
            <w:textDirection w:val="lrTb"/>
            <w:noWrap w:val="false"/>
          </w:tcPr>
          <w:p>
            <w:pPr>
              <w:pStyle w:val="1056"/>
              <w:widowControl w:val="false"/>
              <w:pBdr/>
              <w:spacing w:after="120" w:before="120" w:line="360" w:lineRule="auto"/>
              <w:ind w:right="-30"/>
              <w:jc w:val="center"/>
              <w:rPr>
                <w:sz w:val="20"/>
                <w:szCs w:val="20"/>
              </w:rPr>
            </w:pPr>
            <w:r>
              <w:rPr>
                <w:rFonts w:cs="Arial"/>
                <w:sz w:val="20"/>
                <w:szCs w:val="20"/>
                <w:lang w:val="pt-BR" w:eastAsia="pt-BR" w:bidi="ar-SA"/>
              </w:rPr>
              <w:t xml:space="preserve">X</w:t>
            </w:r>
            <w:r>
              <w:rPr>
                <w:sz w:val="20"/>
                <w:szCs w:val="20"/>
              </w:rPr>
            </w:r>
          </w:p>
        </w:tc>
        <w:tc>
          <w:tcPr>
            <w:tcBorders>
              <w:left w:val="single" w:color="000000" w:sz="4" w:space="0"/>
              <w:bottom w:val="single" w:color="000000" w:sz="4" w:space="0"/>
            </w:tcBorders>
            <w:tcW w:w="1373" w:type="dxa"/>
            <w:textDirection w:val="lrTb"/>
            <w:noWrap w:val="false"/>
          </w:tcPr>
          <w:p>
            <w:pPr>
              <w:pStyle w:val="1056"/>
              <w:widowControl w:val="false"/>
              <w:pBdr/>
              <w:spacing w:after="120" w:before="120" w:line="360" w:lineRule="auto"/>
              <w:ind w:right="-30"/>
              <w:rPr>
                <w:sz w:val="20"/>
                <w:szCs w:val="20"/>
              </w:rPr>
            </w:pPr>
            <w:r>
              <w:rPr>
                <w:rFonts w:cs="Arial"/>
                <w:sz w:val="20"/>
                <w:szCs w:val="20"/>
                <w:lang w:val="pt-BR" w:eastAsia="pt-BR" w:bidi="ar-SA"/>
              </w:rPr>
              <w:t xml:space="preserve">Especificação</w:t>
            </w:r>
            <w:r>
              <w:rPr>
                <w:sz w:val="20"/>
                <w:szCs w:val="20"/>
              </w:rPr>
            </w:r>
          </w:p>
        </w:tc>
        <w:tc>
          <w:tcPr>
            <w:tcBorders>
              <w:left w:val="single" w:color="000000" w:sz="4" w:space="0"/>
              <w:bottom w:val="single" w:color="000000" w:sz="4" w:space="0"/>
            </w:tcBorders>
            <w:tcW w:w="1256" w:type="dxa"/>
            <w:textDirection w:val="lrTb"/>
            <w:noWrap w:val="false"/>
          </w:tcPr>
          <w:p>
            <w:pPr>
              <w:pStyle w:val="1056"/>
              <w:widowControl w:val="false"/>
              <w:pBdr/>
              <w:spacing w:after="120" w:before="120" w:line="360" w:lineRule="auto"/>
              <w:ind w:right="-30"/>
              <w:jc w:val="center"/>
              <w:rPr>
                <w:i/>
                <w:sz w:val="20"/>
                <w:szCs w:val="20"/>
              </w:rPr>
            </w:pPr>
            <w:r>
              <w:rPr>
                <w:rFonts w:cs="Arial"/>
                <w:i/>
                <w:sz w:val="20"/>
                <w:szCs w:val="20"/>
                <w:lang w:val="pt-BR" w:eastAsia="pt-BR" w:bidi="ar-SA"/>
              </w:rPr>
              <w:t xml:space="preserve">Marca</w:t>
            </w:r>
            <w:r>
              <w:rPr>
                <w:i/>
                <w:sz w:val="20"/>
                <w:szCs w:val="20"/>
              </w:rPr>
            </w:r>
          </w:p>
          <w:p>
            <w:pPr>
              <w:pStyle w:val="1056"/>
              <w:widowControl w:val="false"/>
              <w:pBdr/>
              <w:spacing w:after="120" w:before="120" w:line="360" w:lineRule="auto"/>
              <w:ind w:right="-30"/>
              <w:jc w:val="center"/>
              <w:rPr>
                <w:i/>
                <w:sz w:val="20"/>
                <w:szCs w:val="20"/>
              </w:rPr>
            </w:pPr>
            <w:r>
              <w:rPr>
                <w:rFonts w:cs="Arial"/>
                <w:i/>
                <w:sz w:val="20"/>
                <w:szCs w:val="20"/>
                <w:lang w:val="pt-BR" w:eastAsia="pt-BR" w:bidi="ar-SA"/>
              </w:rPr>
              <w:t xml:space="preserve">(se exigida no edital)</w:t>
            </w:r>
            <w:r>
              <w:rPr>
                <w:i/>
                <w:sz w:val="20"/>
                <w:szCs w:val="20"/>
              </w:rPr>
            </w:r>
          </w:p>
        </w:tc>
        <w:tc>
          <w:tcPr>
            <w:tcBorders>
              <w:left w:val="single" w:color="000000" w:sz="4" w:space="0"/>
              <w:bottom w:val="single" w:color="000000" w:sz="4" w:space="0"/>
            </w:tcBorders>
            <w:tcW w:w="1538" w:type="dxa"/>
            <w:textDirection w:val="lrTb"/>
            <w:noWrap w:val="false"/>
          </w:tcPr>
          <w:p>
            <w:pPr>
              <w:pStyle w:val="1056"/>
              <w:widowControl w:val="false"/>
              <w:pBdr/>
              <w:spacing w:after="120" w:before="120" w:line="360" w:lineRule="auto"/>
              <w:ind w:right="-30"/>
              <w:jc w:val="center"/>
              <w:rPr>
                <w:i/>
                <w:sz w:val="20"/>
                <w:szCs w:val="20"/>
              </w:rPr>
            </w:pPr>
            <w:r>
              <w:rPr>
                <w:rFonts w:cs="Arial"/>
                <w:i/>
                <w:sz w:val="20"/>
                <w:szCs w:val="20"/>
                <w:lang w:val="pt-BR" w:eastAsia="pt-BR" w:bidi="ar-SA"/>
              </w:rPr>
              <w:t xml:space="preserve">Modelo</w:t>
            </w:r>
            <w:r>
              <w:rPr>
                <w:i/>
                <w:sz w:val="20"/>
                <w:szCs w:val="20"/>
              </w:rPr>
            </w:r>
          </w:p>
          <w:p>
            <w:pPr>
              <w:pStyle w:val="1056"/>
              <w:widowControl w:val="false"/>
              <w:pBdr/>
              <w:spacing w:after="120" w:before="120" w:line="360" w:lineRule="auto"/>
              <w:ind w:right="-30"/>
              <w:jc w:val="center"/>
              <w:rPr>
                <w:i/>
                <w:sz w:val="20"/>
                <w:szCs w:val="20"/>
              </w:rPr>
            </w:pPr>
            <w:r>
              <w:rPr>
                <w:rFonts w:cs="Arial"/>
                <w:i/>
                <w:sz w:val="20"/>
                <w:szCs w:val="20"/>
                <w:lang w:val="pt-BR" w:eastAsia="pt-BR" w:bidi="ar-SA"/>
              </w:rPr>
              <w:t xml:space="preserve">(se exigido no edital)</w:t>
            </w:r>
            <w:r>
              <w:rPr>
                <w:i/>
                <w:sz w:val="20"/>
                <w:szCs w:val="20"/>
              </w:rPr>
            </w:r>
          </w:p>
        </w:tc>
        <w:tc>
          <w:tcPr>
            <w:tcBorders>
              <w:left w:val="single" w:color="000000" w:sz="4" w:space="0"/>
              <w:bottom w:val="single" w:color="000000" w:sz="4" w:space="0"/>
            </w:tcBorders>
            <w:tcW w:w="1125" w:type="dxa"/>
            <w:textDirection w:val="lrTb"/>
            <w:noWrap w:val="false"/>
          </w:tcPr>
          <w:p>
            <w:pPr>
              <w:pStyle w:val="1056"/>
              <w:widowControl w:val="false"/>
              <w:pBdr/>
              <w:spacing w:after="120" w:before="120" w:line="360" w:lineRule="auto"/>
              <w:ind w:right="-30"/>
              <w:jc w:val="center"/>
              <w:rPr>
                <w:sz w:val="20"/>
                <w:szCs w:val="20"/>
              </w:rPr>
            </w:pPr>
            <w:r>
              <w:rPr>
                <w:rFonts w:cs="Arial"/>
                <w:sz w:val="20"/>
                <w:szCs w:val="20"/>
                <w:lang w:val="pt-BR" w:eastAsia="pt-BR" w:bidi="ar-SA"/>
              </w:rPr>
              <w:t xml:space="preserve">Unidade</w:t>
            </w:r>
            <w:r>
              <w:rPr>
                <w:sz w:val="20"/>
                <w:szCs w:val="20"/>
              </w:rPr>
            </w:r>
          </w:p>
        </w:tc>
        <w:tc>
          <w:tcPr>
            <w:tcBorders>
              <w:left w:val="single" w:color="000000" w:sz="4" w:space="0"/>
              <w:bottom w:val="single" w:color="000000" w:sz="4" w:space="0"/>
            </w:tcBorders>
            <w:tcW w:w="1115" w:type="dxa"/>
            <w:textDirection w:val="lrTb"/>
            <w:noWrap w:val="false"/>
          </w:tcPr>
          <w:p>
            <w:pPr>
              <w:pStyle w:val="1056"/>
              <w:widowControl w:val="false"/>
              <w:pBdr/>
              <w:spacing w:after="120" w:before="120" w:line="360" w:lineRule="auto"/>
              <w:ind w:right="-30"/>
              <w:jc w:val="center"/>
              <w:rPr>
                <w:sz w:val="20"/>
                <w:szCs w:val="20"/>
              </w:rPr>
            </w:pPr>
            <w:r>
              <w:rPr>
                <w:rFonts w:cs="Arial"/>
                <w:sz w:val="20"/>
                <w:szCs w:val="20"/>
                <w:lang w:val="pt-BR" w:eastAsia="pt-BR" w:bidi="ar-SA"/>
              </w:rPr>
              <w:t xml:space="preserve">QuantidadeMáxima</w:t>
            </w:r>
            <w:r>
              <w:rPr>
                <w:sz w:val="20"/>
                <w:szCs w:val="20"/>
              </w:rPr>
            </w:r>
          </w:p>
        </w:tc>
        <w:tc>
          <w:tcPr>
            <w:tcBorders>
              <w:left w:val="single" w:color="000000" w:sz="4" w:space="0"/>
              <w:bottom w:val="single" w:color="000000" w:sz="4" w:space="0"/>
              <w:right w:val="single" w:color="000000" w:sz="4" w:space="0"/>
            </w:tcBorders>
            <w:tcW w:w="850" w:type="dxa"/>
            <w:textDirection w:val="lrTb"/>
            <w:noWrap w:val="false"/>
          </w:tcPr>
          <w:p>
            <w:pPr>
              <w:pStyle w:val="1056"/>
              <w:widowControl w:val="false"/>
              <w:pBdr/>
              <w:spacing w:after="120" w:before="120" w:line="360" w:lineRule="auto"/>
              <w:ind w:right="-30"/>
              <w:jc w:val="center"/>
              <w:rPr>
                <w:sz w:val="20"/>
                <w:szCs w:val="20"/>
              </w:rPr>
            </w:pPr>
            <w:r>
              <w:rPr>
                <w:rFonts w:cs="Arial"/>
                <w:sz w:val="20"/>
                <w:szCs w:val="20"/>
                <w:lang w:val="pt-BR" w:eastAsia="pt-BR" w:bidi="ar-SA"/>
              </w:rPr>
              <w:t xml:space="preserve">Quantidade Mínima</w:t>
            </w:r>
            <w:r>
              <w:rPr>
                <w:sz w:val="20"/>
                <w:szCs w:val="20"/>
              </w:rPr>
            </w:r>
          </w:p>
        </w:tc>
        <w:tc>
          <w:tcPr>
            <w:tcBorders>
              <w:left w:val="single" w:color="000000" w:sz="4" w:space="0"/>
              <w:bottom w:val="single" w:color="000000" w:sz="4" w:space="0"/>
            </w:tcBorders>
            <w:tcW w:w="848" w:type="dxa"/>
            <w:textDirection w:val="lrTb"/>
            <w:noWrap w:val="false"/>
          </w:tcPr>
          <w:p>
            <w:pPr>
              <w:pStyle w:val="1056"/>
              <w:widowControl w:val="false"/>
              <w:pBdr/>
              <w:spacing w:after="120" w:before="120" w:line="360" w:lineRule="auto"/>
              <w:ind w:right="-30"/>
              <w:jc w:val="center"/>
              <w:rPr>
                <w:sz w:val="20"/>
                <w:szCs w:val="20"/>
              </w:rPr>
            </w:pPr>
            <w:r>
              <w:rPr>
                <w:rFonts w:cs="Arial"/>
                <w:sz w:val="20"/>
                <w:szCs w:val="20"/>
                <w:lang w:val="pt-BR" w:eastAsia="pt-BR" w:bidi="ar-SA"/>
              </w:rPr>
              <w:t xml:space="preserve">Valor Un</w:t>
            </w:r>
            <w:r>
              <w:rPr>
                <w:sz w:val="20"/>
                <w:szCs w:val="20"/>
              </w:rPr>
            </w:r>
          </w:p>
        </w:tc>
        <w:tc>
          <w:tcPr>
            <w:tcBorders>
              <w:left w:val="single" w:color="000000" w:sz="4" w:space="0"/>
              <w:bottom w:val="single" w:color="000000" w:sz="4" w:space="0"/>
              <w:right w:val="single" w:color="000000" w:sz="4" w:space="0"/>
            </w:tcBorders>
            <w:tcW w:w="1082" w:type="dxa"/>
            <w:textDirection w:val="lrTb"/>
            <w:noWrap w:val="false"/>
          </w:tcPr>
          <w:p>
            <w:pPr>
              <w:pStyle w:val="1056"/>
              <w:widowControl w:val="false"/>
              <w:pBdr/>
              <w:spacing w:after="120" w:before="120" w:line="360" w:lineRule="auto"/>
              <w:ind w:right="-30"/>
              <w:jc w:val="center"/>
              <w:rPr>
                <w:sz w:val="20"/>
                <w:szCs w:val="20"/>
              </w:rPr>
            </w:pPr>
            <w:r>
              <w:rPr>
                <w:rFonts w:cs="Arial"/>
                <w:i/>
                <w:sz w:val="20"/>
                <w:szCs w:val="20"/>
                <w:lang w:val="pt-BR" w:eastAsia="pt-BR" w:bidi="ar-SA"/>
              </w:rPr>
              <w:t xml:space="preserve">Prazo garantia ou validade</w:t>
            </w:r>
            <w:r>
              <w:rPr>
                <w:sz w:val="20"/>
                <w:szCs w:val="20"/>
              </w:rPr>
            </w:r>
          </w:p>
        </w:tc>
      </w:tr>
      <w:tr>
        <w:trPr>
          <w:trHeight w:val="174"/>
        </w:trPr>
        <w:tc>
          <w:tcPr>
            <w:tcBorders>
              <w:left w:val="single" w:color="000000" w:sz="4" w:space="0"/>
              <w:bottom w:val="single" w:color="000000" w:sz="4" w:space="0"/>
            </w:tcBorders>
            <w:tcW w:w="847"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c>
          <w:tcPr>
            <w:tcBorders>
              <w:left w:val="single" w:color="000000" w:sz="4" w:space="0"/>
              <w:bottom w:val="single" w:color="000000" w:sz="4" w:space="0"/>
            </w:tcBorders>
            <w:tcW w:w="1373"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c>
          <w:tcPr>
            <w:tcBorders>
              <w:left w:val="single" w:color="000000" w:sz="4" w:space="0"/>
              <w:bottom w:val="single" w:color="000000" w:sz="4" w:space="0"/>
            </w:tcBorders>
            <w:tcW w:w="1256"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c>
          <w:tcPr>
            <w:tcBorders>
              <w:left w:val="single" w:color="000000" w:sz="4" w:space="0"/>
              <w:bottom w:val="single" w:color="000000" w:sz="4" w:space="0"/>
            </w:tcBorders>
            <w:tcW w:w="1538"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c>
          <w:tcPr>
            <w:tcBorders>
              <w:left w:val="single" w:color="000000" w:sz="4" w:space="0"/>
              <w:bottom w:val="single" w:color="000000" w:sz="4" w:space="0"/>
            </w:tcBorders>
            <w:tcW w:w="1125"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c>
          <w:tcPr>
            <w:tcBorders>
              <w:left w:val="single" w:color="000000" w:sz="4" w:space="0"/>
              <w:bottom w:val="single" w:color="000000" w:sz="4" w:space="0"/>
            </w:tcBorders>
            <w:tcW w:w="1115"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c>
          <w:tcPr>
            <w:tcBorders>
              <w:left w:val="single" w:color="000000" w:sz="4" w:space="0"/>
              <w:bottom w:val="single" w:color="000000" w:sz="4" w:space="0"/>
              <w:right w:val="single" w:color="000000" w:sz="4" w:space="0"/>
            </w:tcBorders>
            <w:tcW w:w="850"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c>
          <w:tcPr>
            <w:tcBorders>
              <w:left w:val="single" w:color="000000" w:sz="4" w:space="0"/>
              <w:bottom w:val="single" w:color="000000" w:sz="4" w:space="0"/>
            </w:tcBorders>
            <w:tcW w:w="848"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c>
          <w:tcPr>
            <w:tcBorders>
              <w:left w:val="single" w:color="000000" w:sz="4" w:space="0"/>
              <w:bottom w:val="single" w:color="000000" w:sz="4" w:space="0"/>
              <w:right w:val="single" w:color="000000" w:sz="4" w:space="0"/>
            </w:tcBorders>
            <w:tcW w:w="1082"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r>
    </w:tbl>
    <w:p>
      <w:pPr>
        <w:pStyle w:val="1056"/>
        <w:widowControl w:val="false"/>
        <w:pBdr/>
        <w:spacing w:line="360" w:lineRule="auto"/>
        <w:ind w:right="-30"/>
        <w:jc w:val="center"/>
        <w:rPr>
          <w:sz w:val="20"/>
          <w:szCs w:val="20"/>
        </w:rPr>
      </w:pPr>
      <w:r>
        <w:rPr>
          <w:sz w:val="20"/>
          <w:szCs w:val="20"/>
        </w:rPr>
      </w:r>
      <w:r>
        <w:rPr>
          <w:sz w:val="20"/>
          <w:szCs w:val="20"/>
        </w:rPr>
      </w:r>
    </w:p>
    <w:p>
      <w:pPr>
        <w:pStyle w:val="1056"/>
        <w:widowControl w:val="false"/>
        <w:pBdr/>
        <w:spacing w:line="360" w:lineRule="auto"/>
        <w:ind w:right="-30"/>
        <w:jc w:val="center"/>
        <w:rPr>
          <w:sz w:val="20"/>
          <w:szCs w:val="20"/>
        </w:rPr>
      </w:pPr>
      <w:r>
        <w:rPr>
          <w:sz w:val="20"/>
          <w:szCs w:val="20"/>
        </w:rPr>
      </w:r>
      <w:r>
        <w:rPr>
          <w:sz w:val="20"/>
          <w:szCs w:val="20"/>
        </w:rPr>
      </w:r>
    </w:p>
    <w:p>
      <w:pPr>
        <w:pStyle w:val="1056"/>
        <w:widowControl w:val="false"/>
        <w:pBdr/>
        <w:spacing w:line="360" w:lineRule="auto"/>
        <w:ind w:right="-30"/>
        <w:jc w:val="center"/>
        <w:rPr>
          <w:sz w:val="20"/>
          <w:szCs w:val="20"/>
        </w:rPr>
      </w:pPr>
      <w:r>
        <w:rPr>
          <w:sz w:val="20"/>
          <w:szCs w:val="20"/>
        </w:rPr>
        <w:t xml:space="preserve">Seguindo a ordem de classificação, segue relação de fornecedores que mantiveram sua proposta original:</w:t>
      </w:r>
      <w:r>
        <w:rPr>
          <w:sz w:val="20"/>
          <w:szCs w:val="20"/>
        </w:rPr>
      </w:r>
    </w:p>
    <w:p>
      <w:pPr>
        <w:pStyle w:val="1056"/>
        <w:widowControl w:val="false"/>
        <w:pBdr/>
        <w:spacing w:line="360" w:lineRule="auto"/>
        <w:ind w:right="-30"/>
        <w:jc w:val="center"/>
        <w:rPr>
          <w:sz w:val="20"/>
          <w:szCs w:val="20"/>
        </w:rPr>
      </w:pPr>
      <w:r>
        <w:rPr>
          <w:sz w:val="20"/>
          <w:szCs w:val="20"/>
        </w:rPr>
      </w:r>
      <w:r>
        <w:rPr>
          <w:sz w:val="20"/>
          <w:szCs w:val="20"/>
        </w:rPr>
      </w:r>
    </w:p>
    <w:tbl>
      <w:tblPr>
        <w:tblStyle w:val="1387"/>
        <w:tblInd w:w="-15" w:type="dxa"/>
        <w:tblW w:w="9391" w:type="dxa"/>
        <w:tblCellMar>
          <w:left w:w="5" w:type="dxa"/>
          <w:top w:w="0" w:type="dxa"/>
          <w:right w:w="5" w:type="dxa"/>
          <w:bottom w:w="0" w:type="dxa"/>
        </w:tblCellMar>
        <w:tblBorders/>
        <w:tblLayout w:type="fixed"/>
        <w:tblLook w:val="0000" w:firstRow="0" w:lastRow="0" w:firstColumn="0" w:lastColumn="0" w:noHBand="0" w:noVBand="0"/>
      </w:tblPr>
      <w:tblGrid>
        <w:gridCol w:w="693"/>
        <w:gridCol w:w="1141"/>
        <w:gridCol w:w="1250"/>
        <w:gridCol w:w="1542"/>
        <w:gridCol w:w="1125"/>
        <w:gridCol w:w="1113"/>
        <w:gridCol w:w="846"/>
        <w:gridCol w:w="836"/>
        <w:gridCol w:w="845"/>
      </w:tblGrid>
      <w:tr>
        <w:trPr>
          <w:trHeight w:val="511"/>
        </w:trPr>
        <w:tc>
          <w:tcPr>
            <w:tcBorders>
              <w:top w:val="single" w:color="000000" w:sz="4" w:space="0"/>
              <w:left w:val="single" w:color="000000" w:sz="4" w:space="0"/>
              <w:bottom w:val="single" w:color="000000" w:sz="4" w:space="0"/>
              <w:right w:val="single" w:color="000000" w:sz="4" w:space="0"/>
            </w:tcBorders>
            <w:tcW w:w="693" w:type="dxa"/>
            <w:vAlign w:val="center"/>
            <w:textDirection w:val="lrTb"/>
            <w:noWrap w:val="false"/>
          </w:tcPr>
          <w:p>
            <w:pPr>
              <w:pStyle w:val="1056"/>
              <w:widowControl w:val="false"/>
              <w:pBdr/>
              <w:spacing w:after="120" w:before="120" w:line="360" w:lineRule="auto"/>
              <w:ind w:right="-30"/>
              <w:jc w:val="center"/>
              <w:rPr>
                <w:sz w:val="20"/>
                <w:szCs w:val="20"/>
              </w:rPr>
            </w:pPr>
            <w:r>
              <w:rPr>
                <w:rFonts w:cs="Arial"/>
                <w:sz w:val="20"/>
                <w:szCs w:val="20"/>
                <w:lang w:val="pt-BR" w:eastAsia="pt-BR" w:bidi="ar-SA"/>
              </w:rPr>
              <w:t xml:space="preserve">Item</w:t>
            </w:r>
            <w:r>
              <w:rPr>
                <w:sz w:val="20"/>
                <w:szCs w:val="20"/>
              </w:rPr>
            </w:r>
          </w:p>
          <w:p>
            <w:pPr>
              <w:pStyle w:val="1056"/>
              <w:widowControl w:val="false"/>
              <w:pBdr/>
              <w:spacing w:line="360" w:lineRule="auto"/>
              <w:ind w:right="-30"/>
              <w:jc w:val="center"/>
              <w:rPr>
                <w:sz w:val="20"/>
                <w:szCs w:val="20"/>
              </w:rPr>
            </w:pPr>
            <w:r>
              <w:rPr>
                <w:rFonts w:cs="Arial"/>
                <w:sz w:val="20"/>
                <w:szCs w:val="20"/>
                <w:lang w:val="pt-BR" w:eastAsia="pt-BR" w:bidi="ar-SA"/>
              </w:rPr>
              <w:t xml:space="preserve">do</w:t>
            </w:r>
            <w:r>
              <w:rPr>
                <w:sz w:val="20"/>
                <w:szCs w:val="20"/>
              </w:rPr>
            </w:r>
          </w:p>
          <w:p>
            <w:pPr>
              <w:pStyle w:val="1056"/>
              <w:widowControl w:val="false"/>
              <w:pBdr/>
              <w:spacing w:after="120" w:before="120" w:line="360" w:lineRule="auto"/>
              <w:ind w:right="-30"/>
              <w:jc w:val="center"/>
              <w:rPr>
                <w:sz w:val="20"/>
                <w:szCs w:val="20"/>
              </w:rPr>
            </w:pPr>
            <w:r>
              <w:rPr>
                <w:rFonts w:cs="Arial"/>
                <w:sz w:val="20"/>
                <w:szCs w:val="20"/>
                <w:lang w:val="pt-BR" w:eastAsia="pt-BR" w:bidi="ar-SA"/>
              </w:rPr>
              <w:t xml:space="preserve">TR</w:t>
            </w:r>
            <w:r>
              <w:rPr>
                <w:sz w:val="20"/>
                <w:szCs w:val="20"/>
              </w:rPr>
            </w:r>
          </w:p>
        </w:tc>
        <w:tc>
          <w:tcPr>
            <w:gridSpan w:val="8"/>
            <w:tcBorders>
              <w:top w:val="single" w:color="000000" w:sz="4" w:space="0"/>
              <w:left w:val="single" w:color="000000" w:sz="4" w:space="0"/>
              <w:bottom w:val="single" w:color="000000" w:sz="4" w:space="0"/>
              <w:right w:val="single" w:color="000000" w:sz="4" w:space="0"/>
            </w:tcBorders>
            <w:tcW w:w="8698" w:type="dxa"/>
            <w:textDirection w:val="lrTb"/>
            <w:noWrap w:val="false"/>
          </w:tcPr>
          <w:p>
            <w:pPr>
              <w:pStyle w:val="1056"/>
              <w:widowControl w:val="false"/>
              <w:pBdr/>
              <w:spacing w:after="120" w:before="120" w:line="360" w:lineRule="auto"/>
              <w:ind w:right="-30"/>
              <w:jc w:val="center"/>
              <w:rPr>
                <w:i/>
                <w:sz w:val="20"/>
                <w:szCs w:val="20"/>
              </w:rPr>
            </w:pPr>
            <w:r>
              <w:rPr>
                <w:rFonts w:cs="Arial"/>
                <w:sz w:val="20"/>
                <w:szCs w:val="20"/>
                <w:lang w:val="pt-BR" w:eastAsia="pt-BR" w:bidi="ar-SA"/>
              </w:rPr>
              <w:t xml:space="preserve">Fornecedor </w:t>
            </w:r>
            <w:r>
              <w:rPr>
                <w:rFonts w:cs="Arial"/>
                <w:i/>
                <w:sz w:val="20"/>
                <w:szCs w:val="20"/>
                <w:lang w:val="pt-BR" w:eastAsia="pt-BR" w:bidi="ar-SA"/>
              </w:rPr>
              <w:t xml:space="preserve">(razão social, CNPJ/MF, endereço, contatos, representante)</w:t>
            </w:r>
            <w:r>
              <w:rPr>
                <w:i/>
                <w:sz w:val="20"/>
                <w:szCs w:val="20"/>
              </w:rPr>
            </w:r>
          </w:p>
          <w:p>
            <w:pPr>
              <w:pStyle w:val="1056"/>
              <w:widowControl w:val="false"/>
              <w:pBdr/>
              <w:spacing w:after="120" w:before="120" w:line="360" w:lineRule="auto"/>
              <w:ind w:right="-30"/>
              <w:jc w:val="center"/>
              <w:rPr>
                <w:sz w:val="20"/>
                <w:szCs w:val="20"/>
              </w:rPr>
            </w:pPr>
            <w:r>
              <w:rPr>
                <w:sz w:val="20"/>
                <w:szCs w:val="20"/>
              </w:rPr>
            </w:r>
            <w:r>
              <w:rPr>
                <w:sz w:val="20"/>
                <w:szCs w:val="20"/>
              </w:rPr>
            </w:r>
          </w:p>
        </w:tc>
      </w:tr>
      <w:tr>
        <w:trPr>
          <w:trHeight w:val="674"/>
        </w:trPr>
        <w:tc>
          <w:tcPr>
            <w:tcBorders>
              <w:left w:val="single" w:color="000000" w:sz="4" w:space="0"/>
              <w:bottom w:val="single" w:color="000000" w:sz="4" w:space="0"/>
            </w:tcBorders>
            <w:tcW w:w="693" w:type="dxa"/>
            <w:vAlign w:val="center"/>
            <w:textDirection w:val="lrTb"/>
            <w:noWrap w:val="false"/>
          </w:tcPr>
          <w:p>
            <w:pPr>
              <w:pStyle w:val="1056"/>
              <w:widowControl w:val="false"/>
              <w:pBdr/>
              <w:spacing w:after="120" w:before="120" w:line="360" w:lineRule="auto"/>
              <w:ind w:right="-30"/>
              <w:jc w:val="center"/>
              <w:rPr>
                <w:sz w:val="20"/>
                <w:szCs w:val="20"/>
              </w:rPr>
            </w:pPr>
            <w:r>
              <w:rPr>
                <w:rFonts w:cs="Arial"/>
                <w:sz w:val="20"/>
                <w:szCs w:val="20"/>
                <w:lang w:val="pt-BR" w:eastAsia="pt-BR" w:bidi="ar-SA"/>
              </w:rPr>
              <w:t xml:space="preserve">X</w:t>
            </w:r>
            <w:r>
              <w:rPr>
                <w:sz w:val="20"/>
                <w:szCs w:val="20"/>
              </w:rPr>
            </w:r>
          </w:p>
        </w:tc>
        <w:tc>
          <w:tcPr>
            <w:tcBorders>
              <w:left w:val="single" w:color="000000" w:sz="4" w:space="0"/>
              <w:bottom w:val="single" w:color="000000" w:sz="4" w:space="0"/>
            </w:tcBorders>
            <w:tcW w:w="1141" w:type="dxa"/>
            <w:textDirection w:val="lrTb"/>
            <w:noWrap w:val="false"/>
          </w:tcPr>
          <w:p>
            <w:pPr>
              <w:pStyle w:val="1056"/>
              <w:widowControl w:val="false"/>
              <w:pBdr/>
              <w:spacing w:after="120" w:before="120" w:line="360" w:lineRule="auto"/>
              <w:ind w:right="-30"/>
              <w:rPr>
                <w:sz w:val="20"/>
                <w:szCs w:val="20"/>
              </w:rPr>
            </w:pPr>
            <w:r>
              <w:rPr>
                <w:rFonts w:cs="Arial"/>
                <w:sz w:val="20"/>
                <w:szCs w:val="20"/>
                <w:lang w:val="pt-BR" w:eastAsia="pt-BR" w:bidi="ar-SA"/>
              </w:rPr>
              <w:t xml:space="preserve">Especificação</w:t>
            </w:r>
            <w:r>
              <w:rPr>
                <w:sz w:val="20"/>
                <w:szCs w:val="20"/>
              </w:rPr>
            </w:r>
          </w:p>
        </w:tc>
        <w:tc>
          <w:tcPr>
            <w:tcBorders>
              <w:left w:val="single" w:color="000000" w:sz="4" w:space="0"/>
              <w:bottom w:val="single" w:color="000000" w:sz="4" w:space="0"/>
            </w:tcBorders>
            <w:tcW w:w="1250" w:type="dxa"/>
            <w:textDirection w:val="lrTb"/>
            <w:noWrap w:val="false"/>
          </w:tcPr>
          <w:p>
            <w:pPr>
              <w:pStyle w:val="1056"/>
              <w:widowControl w:val="false"/>
              <w:pBdr/>
              <w:spacing w:after="120" w:before="120" w:line="360" w:lineRule="auto"/>
              <w:ind w:right="-30"/>
              <w:jc w:val="center"/>
              <w:rPr>
                <w:i/>
                <w:sz w:val="20"/>
                <w:szCs w:val="20"/>
              </w:rPr>
            </w:pPr>
            <w:r>
              <w:rPr>
                <w:rFonts w:cs="Arial"/>
                <w:i/>
                <w:sz w:val="20"/>
                <w:szCs w:val="20"/>
                <w:lang w:val="pt-BR" w:eastAsia="pt-BR" w:bidi="ar-SA"/>
              </w:rPr>
              <w:t xml:space="preserve">Marca</w:t>
            </w:r>
            <w:r>
              <w:rPr>
                <w:i/>
                <w:sz w:val="20"/>
                <w:szCs w:val="20"/>
              </w:rPr>
            </w:r>
          </w:p>
          <w:p>
            <w:pPr>
              <w:pStyle w:val="1056"/>
              <w:widowControl w:val="false"/>
              <w:pBdr/>
              <w:spacing w:after="120" w:before="120" w:line="360" w:lineRule="auto"/>
              <w:ind w:right="-30"/>
              <w:jc w:val="center"/>
              <w:rPr>
                <w:i/>
                <w:sz w:val="20"/>
                <w:szCs w:val="20"/>
              </w:rPr>
            </w:pPr>
            <w:r>
              <w:rPr>
                <w:rFonts w:cs="Arial"/>
                <w:i/>
                <w:sz w:val="20"/>
                <w:szCs w:val="20"/>
                <w:lang w:val="pt-BR" w:eastAsia="pt-BR" w:bidi="ar-SA"/>
              </w:rPr>
              <w:t xml:space="preserve">(se exigida no edital)</w:t>
            </w:r>
            <w:r>
              <w:rPr>
                <w:i/>
                <w:sz w:val="20"/>
                <w:szCs w:val="20"/>
              </w:rPr>
            </w:r>
          </w:p>
        </w:tc>
        <w:tc>
          <w:tcPr>
            <w:tcBorders>
              <w:left w:val="single" w:color="000000" w:sz="4" w:space="0"/>
              <w:bottom w:val="single" w:color="000000" w:sz="4" w:space="0"/>
            </w:tcBorders>
            <w:tcW w:w="1542" w:type="dxa"/>
            <w:textDirection w:val="lrTb"/>
            <w:noWrap w:val="false"/>
          </w:tcPr>
          <w:p>
            <w:pPr>
              <w:pStyle w:val="1056"/>
              <w:widowControl w:val="false"/>
              <w:pBdr/>
              <w:spacing w:after="120" w:before="120" w:line="360" w:lineRule="auto"/>
              <w:ind w:right="-30"/>
              <w:jc w:val="center"/>
              <w:rPr>
                <w:i/>
                <w:sz w:val="20"/>
                <w:szCs w:val="20"/>
              </w:rPr>
            </w:pPr>
            <w:r>
              <w:rPr>
                <w:rFonts w:cs="Arial"/>
                <w:i/>
                <w:sz w:val="20"/>
                <w:szCs w:val="20"/>
                <w:lang w:val="pt-BR" w:eastAsia="pt-BR" w:bidi="ar-SA"/>
              </w:rPr>
              <w:t xml:space="preserve">Modelo</w:t>
            </w:r>
            <w:r>
              <w:rPr>
                <w:i/>
                <w:sz w:val="20"/>
                <w:szCs w:val="20"/>
              </w:rPr>
            </w:r>
          </w:p>
          <w:p>
            <w:pPr>
              <w:pStyle w:val="1056"/>
              <w:widowControl w:val="false"/>
              <w:pBdr/>
              <w:spacing w:after="120" w:before="120" w:line="360" w:lineRule="auto"/>
              <w:ind w:right="-30"/>
              <w:jc w:val="center"/>
              <w:rPr>
                <w:i/>
                <w:sz w:val="20"/>
                <w:szCs w:val="20"/>
              </w:rPr>
            </w:pPr>
            <w:r>
              <w:rPr>
                <w:rFonts w:cs="Arial"/>
                <w:i/>
                <w:sz w:val="20"/>
                <w:szCs w:val="20"/>
                <w:lang w:val="pt-BR" w:eastAsia="pt-BR" w:bidi="ar-SA"/>
              </w:rPr>
              <w:t xml:space="preserve">(se exigido no edital)</w:t>
            </w:r>
            <w:r>
              <w:rPr>
                <w:i/>
                <w:sz w:val="20"/>
                <w:szCs w:val="20"/>
              </w:rPr>
            </w:r>
          </w:p>
        </w:tc>
        <w:tc>
          <w:tcPr>
            <w:tcBorders>
              <w:left w:val="single" w:color="000000" w:sz="4" w:space="0"/>
              <w:bottom w:val="single" w:color="000000" w:sz="4" w:space="0"/>
            </w:tcBorders>
            <w:tcW w:w="1125" w:type="dxa"/>
            <w:textDirection w:val="lrTb"/>
            <w:noWrap w:val="false"/>
          </w:tcPr>
          <w:p>
            <w:pPr>
              <w:pStyle w:val="1056"/>
              <w:widowControl w:val="false"/>
              <w:pBdr/>
              <w:spacing w:after="120" w:before="120" w:line="360" w:lineRule="auto"/>
              <w:ind w:right="-30"/>
              <w:jc w:val="center"/>
              <w:rPr>
                <w:sz w:val="20"/>
                <w:szCs w:val="20"/>
              </w:rPr>
            </w:pPr>
            <w:r>
              <w:rPr>
                <w:rFonts w:cs="Arial"/>
                <w:sz w:val="20"/>
                <w:szCs w:val="20"/>
                <w:lang w:val="pt-BR" w:eastAsia="pt-BR" w:bidi="ar-SA"/>
              </w:rPr>
              <w:t xml:space="preserve">Unidade</w:t>
            </w:r>
            <w:r>
              <w:rPr>
                <w:sz w:val="20"/>
                <w:szCs w:val="20"/>
              </w:rPr>
            </w:r>
          </w:p>
        </w:tc>
        <w:tc>
          <w:tcPr>
            <w:tcBorders>
              <w:left w:val="single" w:color="000000" w:sz="4" w:space="0"/>
              <w:bottom w:val="single" w:color="000000" w:sz="4" w:space="0"/>
            </w:tcBorders>
            <w:tcW w:w="1113" w:type="dxa"/>
            <w:textDirection w:val="lrTb"/>
            <w:noWrap w:val="false"/>
          </w:tcPr>
          <w:p>
            <w:pPr>
              <w:pStyle w:val="1056"/>
              <w:widowControl w:val="false"/>
              <w:pBdr/>
              <w:spacing w:after="120" w:before="120" w:line="360" w:lineRule="auto"/>
              <w:ind w:right="-30"/>
              <w:jc w:val="center"/>
              <w:rPr>
                <w:sz w:val="20"/>
                <w:szCs w:val="20"/>
              </w:rPr>
            </w:pPr>
            <w:r>
              <w:rPr>
                <w:rFonts w:cs="Arial"/>
                <w:sz w:val="20"/>
                <w:szCs w:val="20"/>
                <w:lang w:val="pt-BR" w:eastAsia="pt-BR" w:bidi="ar-SA"/>
              </w:rPr>
              <w:t xml:space="preserve">QuantidadeMáxima</w:t>
            </w:r>
            <w:r>
              <w:rPr>
                <w:sz w:val="20"/>
                <w:szCs w:val="20"/>
              </w:rPr>
            </w:r>
          </w:p>
        </w:tc>
        <w:tc>
          <w:tcPr>
            <w:tcBorders>
              <w:left w:val="single" w:color="000000" w:sz="4" w:space="0"/>
              <w:bottom w:val="single" w:color="000000" w:sz="4" w:space="0"/>
              <w:right w:val="single" w:color="000000" w:sz="4" w:space="0"/>
            </w:tcBorders>
            <w:tcW w:w="846" w:type="dxa"/>
            <w:textDirection w:val="lrTb"/>
            <w:noWrap w:val="false"/>
          </w:tcPr>
          <w:p>
            <w:pPr>
              <w:pStyle w:val="1056"/>
              <w:widowControl w:val="false"/>
              <w:pBdr/>
              <w:spacing w:after="120" w:before="120" w:line="360" w:lineRule="auto"/>
              <w:ind w:right="-30"/>
              <w:jc w:val="center"/>
              <w:rPr>
                <w:sz w:val="20"/>
                <w:szCs w:val="20"/>
              </w:rPr>
            </w:pPr>
            <w:r>
              <w:rPr>
                <w:rFonts w:cs="Arial"/>
                <w:sz w:val="20"/>
                <w:szCs w:val="20"/>
                <w:lang w:val="pt-BR" w:eastAsia="pt-BR" w:bidi="ar-SA"/>
              </w:rPr>
              <w:t xml:space="preserve">Quantidade Mínima</w:t>
            </w:r>
            <w:r>
              <w:rPr>
                <w:sz w:val="20"/>
                <w:szCs w:val="20"/>
              </w:rPr>
            </w:r>
          </w:p>
        </w:tc>
        <w:tc>
          <w:tcPr>
            <w:tcBorders>
              <w:left w:val="single" w:color="000000" w:sz="4" w:space="0"/>
              <w:bottom w:val="single" w:color="000000" w:sz="4" w:space="0"/>
            </w:tcBorders>
            <w:tcW w:w="836" w:type="dxa"/>
            <w:textDirection w:val="lrTb"/>
            <w:noWrap w:val="false"/>
          </w:tcPr>
          <w:p>
            <w:pPr>
              <w:pStyle w:val="1056"/>
              <w:widowControl w:val="false"/>
              <w:pBdr/>
              <w:spacing w:after="120" w:before="120" w:line="360" w:lineRule="auto"/>
              <w:ind w:right="-30"/>
              <w:jc w:val="center"/>
              <w:rPr>
                <w:sz w:val="20"/>
                <w:szCs w:val="20"/>
              </w:rPr>
            </w:pPr>
            <w:r>
              <w:rPr>
                <w:rFonts w:cs="Arial"/>
                <w:sz w:val="20"/>
                <w:szCs w:val="20"/>
                <w:lang w:val="pt-BR" w:eastAsia="pt-BR" w:bidi="ar-SA"/>
              </w:rPr>
              <w:t xml:space="preserve">Valor Un</w:t>
            </w:r>
            <w:r>
              <w:rPr>
                <w:sz w:val="20"/>
                <w:szCs w:val="20"/>
              </w:rPr>
            </w:r>
          </w:p>
        </w:tc>
        <w:tc>
          <w:tcPr>
            <w:tcBorders>
              <w:left w:val="single" w:color="000000" w:sz="4" w:space="0"/>
              <w:bottom w:val="single" w:color="000000" w:sz="4" w:space="0"/>
              <w:right w:val="single" w:color="000000" w:sz="4" w:space="0"/>
            </w:tcBorders>
            <w:tcW w:w="845" w:type="dxa"/>
            <w:textDirection w:val="lrTb"/>
            <w:noWrap w:val="false"/>
          </w:tcPr>
          <w:p>
            <w:pPr>
              <w:pStyle w:val="1056"/>
              <w:widowControl w:val="false"/>
              <w:pBdr/>
              <w:spacing w:after="120" w:before="120" w:line="360" w:lineRule="auto"/>
              <w:ind w:right="-30"/>
              <w:jc w:val="center"/>
              <w:rPr>
                <w:sz w:val="20"/>
                <w:szCs w:val="20"/>
              </w:rPr>
            </w:pPr>
            <w:r>
              <w:rPr>
                <w:rFonts w:cs="Arial"/>
                <w:i/>
                <w:sz w:val="20"/>
                <w:szCs w:val="20"/>
                <w:lang w:val="pt-BR" w:eastAsia="pt-BR" w:bidi="ar-SA"/>
              </w:rPr>
              <w:t xml:space="preserve">Prazo garantia ou validade</w:t>
            </w:r>
            <w:r>
              <w:rPr>
                <w:sz w:val="20"/>
                <w:szCs w:val="20"/>
              </w:rPr>
            </w:r>
          </w:p>
        </w:tc>
      </w:tr>
      <w:tr>
        <w:trPr>
          <w:trHeight w:val="174"/>
        </w:trPr>
        <w:tc>
          <w:tcPr>
            <w:tcBorders>
              <w:left w:val="single" w:color="000000" w:sz="4" w:space="0"/>
              <w:bottom w:val="single" w:color="000000" w:sz="4" w:space="0"/>
            </w:tcBorders>
            <w:tcW w:w="693"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c>
          <w:tcPr>
            <w:tcBorders>
              <w:left w:val="single" w:color="000000" w:sz="4" w:space="0"/>
              <w:bottom w:val="single" w:color="000000" w:sz="4" w:space="0"/>
            </w:tcBorders>
            <w:tcW w:w="1141"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c>
          <w:tcPr>
            <w:tcBorders>
              <w:left w:val="single" w:color="000000" w:sz="4" w:space="0"/>
              <w:bottom w:val="single" w:color="000000" w:sz="4" w:space="0"/>
            </w:tcBorders>
            <w:tcW w:w="1250"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c>
          <w:tcPr>
            <w:tcBorders>
              <w:left w:val="single" w:color="000000" w:sz="4" w:space="0"/>
              <w:bottom w:val="single" w:color="000000" w:sz="4" w:space="0"/>
            </w:tcBorders>
            <w:tcW w:w="1542"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c>
          <w:tcPr>
            <w:tcBorders>
              <w:left w:val="single" w:color="000000" w:sz="4" w:space="0"/>
              <w:bottom w:val="single" w:color="000000" w:sz="4" w:space="0"/>
            </w:tcBorders>
            <w:tcW w:w="1125"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c>
          <w:tcPr>
            <w:tcBorders>
              <w:left w:val="single" w:color="000000" w:sz="4" w:space="0"/>
              <w:bottom w:val="single" w:color="000000" w:sz="4" w:space="0"/>
            </w:tcBorders>
            <w:tcW w:w="1113"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c>
          <w:tcPr>
            <w:tcBorders>
              <w:left w:val="single" w:color="000000" w:sz="4" w:space="0"/>
              <w:bottom w:val="single" w:color="000000" w:sz="4" w:space="0"/>
              <w:right w:val="single" w:color="000000" w:sz="4" w:space="0"/>
            </w:tcBorders>
            <w:tcW w:w="846"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c>
          <w:tcPr>
            <w:tcBorders>
              <w:left w:val="single" w:color="000000" w:sz="4" w:space="0"/>
              <w:bottom w:val="single" w:color="000000" w:sz="4" w:space="0"/>
            </w:tcBorders>
            <w:tcW w:w="836"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c>
          <w:tcPr>
            <w:tcBorders>
              <w:left w:val="single" w:color="000000" w:sz="4" w:space="0"/>
              <w:bottom w:val="single" w:color="000000" w:sz="4" w:space="0"/>
              <w:right w:val="single" w:color="000000" w:sz="4" w:space="0"/>
            </w:tcBorders>
            <w:tcW w:w="845" w:type="dxa"/>
            <w:textDirection w:val="lrTb"/>
            <w:noWrap w:val="false"/>
          </w:tcPr>
          <w:p>
            <w:pPr>
              <w:pStyle w:val="1056"/>
              <w:widowControl w:val="false"/>
              <w:pBdr/>
              <w:spacing w:after="120" w:before="120" w:line="360" w:lineRule="auto"/>
              <w:ind w:right="-30"/>
              <w:rPr>
                <w:sz w:val="20"/>
                <w:szCs w:val="20"/>
              </w:rPr>
            </w:pPr>
            <w:r>
              <w:rPr>
                <w:sz w:val="20"/>
                <w:szCs w:val="20"/>
              </w:rPr>
            </w:r>
            <w:r>
              <w:rPr>
                <w:sz w:val="20"/>
                <w:szCs w:val="20"/>
              </w:rPr>
            </w:r>
          </w:p>
        </w:tc>
      </w:tr>
    </w:tbl>
    <w:p>
      <w:pPr>
        <w:pStyle w:val="1056"/>
        <w:widowControl w:val="false"/>
        <w:pBdr/>
        <w:spacing w:line="360" w:lineRule="auto"/>
        <w:ind w:right="-30"/>
        <w:jc w:val="center"/>
        <w:rPr>
          <w:sz w:val="20"/>
          <w:szCs w:val="20"/>
        </w:rPr>
      </w:pPr>
      <w:r>
        <w:rPr>
          <w:sz w:val="20"/>
          <w:szCs w:val="20"/>
        </w:rPr>
      </w:r>
      <w:r>
        <w:rPr>
          <w:sz w:val="20"/>
          <w:szCs w:val="20"/>
        </w:rPr>
      </w:r>
    </w:p>
    <w:p>
      <w:pPr>
        <w:pStyle w:val="1056"/>
        <w:pBdr/>
        <w:spacing/>
        <w:ind/>
        <w:jc w:val="center"/>
        <w:rPr/>
      </w:pPr>
      <w:r/>
      <w:r/>
    </w:p>
    <w:p>
      <w:pPr>
        <w:pStyle w:val="1056"/>
        <w:pBdr/>
        <w:spacing/>
        <w:ind/>
        <w:jc w:val="center"/>
        <w:rPr/>
      </w:pPr>
      <w:r/>
      <w:r/>
    </w:p>
    <w:p>
      <w:pPr>
        <w:pStyle w:val="1056"/>
        <w:pBdr/>
        <w:spacing/>
        <w:ind/>
        <w:jc w:val="center"/>
        <w:rPr/>
      </w:pPr>
      <w:r/>
      <w:r/>
    </w:p>
    <w:p>
      <w:pPr>
        <w:pStyle w:val="1056"/>
        <w:pBdr/>
        <w:spacing/>
        <w:ind/>
        <w:jc w:val="center"/>
        <w:rPr>
          <w:b/>
          <w:sz w:val="24"/>
          <w:szCs w:val="24"/>
        </w:rPr>
      </w:pPr>
      <w:r>
        <w:rPr>
          <w:b/>
          <w:sz w:val="24"/>
          <w:szCs w:val="24"/>
        </w:rPr>
        <w:t xml:space="preserve">ANEXO VI – MINUTA DO FUTURO CONTRATO</w:t>
      </w:r>
      <w:r>
        <w:rPr>
          <w:b/>
          <w:sz w:val="24"/>
          <w:szCs w:val="24"/>
        </w:rPr>
      </w:r>
    </w:p>
    <w:p>
      <w:pPr>
        <w:pStyle w:val="1056"/>
        <w:pBdr/>
        <w:spacing/>
        <w:ind/>
        <w:jc w:val="center"/>
        <w:rPr>
          <w:sz w:val="24"/>
          <w:szCs w:val="24"/>
        </w:rPr>
      </w:pPr>
      <w:r>
        <w:rPr>
          <w:sz w:val="24"/>
          <w:szCs w:val="24"/>
        </w:rPr>
      </w:r>
      <w:r>
        <w:rPr>
          <w:sz w:val="24"/>
          <w:szCs w:val="24"/>
        </w:rPr>
      </w:r>
    </w:p>
    <w:p>
      <w:pPr>
        <w:pStyle w:val="1056"/>
        <w:pBdr/>
        <w:spacing/>
        <w:ind/>
        <w:jc w:val="center"/>
        <w:rPr>
          <w:b/>
          <w:sz w:val="24"/>
          <w:szCs w:val="24"/>
        </w:rPr>
      </w:pPr>
      <w:r>
        <w:rPr>
          <w:b/>
          <w:sz w:val="24"/>
          <w:szCs w:val="24"/>
        </w:rPr>
        <w:t xml:space="preserve">CONTRATO Nº 000/2026</w:t>
      </w:r>
      <w:r>
        <w:rPr>
          <w:b/>
          <w:sz w:val="24"/>
          <w:szCs w:val="24"/>
        </w:rPr>
      </w:r>
    </w:p>
    <w:p>
      <w:pPr>
        <w:pStyle w:val="1056"/>
        <w:pBdr/>
        <w:spacing/>
        <w:ind/>
        <w:jc w:val="center"/>
        <w:rPr>
          <w:b/>
          <w:sz w:val="24"/>
          <w:szCs w:val="24"/>
        </w:rPr>
      </w:pPr>
      <w:r>
        <w:rPr>
          <w:b/>
          <w:sz w:val="24"/>
          <w:szCs w:val="24"/>
        </w:rPr>
      </w:r>
      <w:r>
        <w:rPr>
          <w:b/>
          <w:sz w:val="24"/>
          <w:szCs w:val="24"/>
        </w:rPr>
      </w:r>
    </w:p>
    <w:p>
      <w:pPr>
        <w:pStyle w:val="1056"/>
        <w:pBdr/>
        <w:spacing w:after="0" w:before="0"/>
        <w:ind/>
        <w:rPr>
          <w:b/>
          <w:sz w:val="24"/>
          <w:szCs w:val="24"/>
        </w:rPr>
      </w:pPr>
      <w:r>
        <w:rPr>
          <w:b/>
          <w:sz w:val="24"/>
          <w:szCs w:val="24"/>
        </w:rPr>
        <w:t xml:space="preserve">PROCESSO N º 7190/2025</w:t>
      </w:r>
      <w:r>
        <w:rPr>
          <w:b/>
          <w:sz w:val="24"/>
          <w:szCs w:val="24"/>
        </w:rPr>
      </w:r>
    </w:p>
    <w:p>
      <w:pPr>
        <w:pStyle w:val="1056"/>
        <w:pBdr/>
        <w:spacing w:after="0" w:before="0"/>
        <w:ind/>
        <w:rPr>
          <w:b/>
        </w:rPr>
      </w:pPr>
      <w:r>
        <w:rPr>
          <w:b/>
          <w:sz w:val="24"/>
          <w:szCs w:val="24"/>
        </w:rPr>
        <w:t xml:space="preserve">PREGÃO ELETRÔNICO 019/2025</w:t>
      </w:r>
      <w:r>
        <w:rPr>
          <w:b/>
        </w:rPr>
      </w:r>
    </w:p>
    <w:p>
      <w:pPr>
        <w:pStyle w:val="1056"/>
        <w:pBdr/>
        <w:spacing/>
        <w:ind w:left="4395"/>
        <w:rPr>
          <w:sz w:val="24"/>
          <w:szCs w:val="24"/>
        </w:rPr>
      </w:pPr>
      <w:r>
        <w:rPr>
          <w:sz w:val="24"/>
          <w:szCs w:val="24"/>
        </w:rPr>
        <w:t xml:space="preserve">TERMO DE CONTRATO DE QUE ENTRE SI CELEBRAM O MUNICÍPIO DE RIO DAS FLÔRES E A EMPRESA .................................</w:t>
      </w:r>
      <w:r>
        <w:rPr>
          <w:sz w:val="24"/>
          <w:szCs w:val="24"/>
        </w:rPr>
      </w:r>
    </w:p>
    <w:p>
      <w:pPr>
        <w:pStyle w:val="1056"/>
        <w:pBdr/>
        <w:spacing/>
        <w:ind/>
        <w:rPr>
          <w:sz w:val="24"/>
          <w:szCs w:val="24"/>
          <w:highlight w:val="yellow"/>
        </w:rPr>
      </w:pPr>
      <w:r>
        <w:rPr>
          <w:sz w:val="24"/>
          <w:szCs w:val="24"/>
          <w:highlight w:val="yellow"/>
        </w:rPr>
      </w:r>
      <w:r>
        <w:rPr>
          <w:sz w:val="24"/>
          <w:szCs w:val="24"/>
          <w:highlight w:val="yellow"/>
        </w:rPr>
      </w:r>
    </w:p>
    <w:p>
      <w:pPr>
        <w:pStyle w:val="1056"/>
        <w:pBdr/>
        <w:spacing w:line="276" w:lineRule="auto"/>
        <w:ind w:firstLine="1418"/>
        <w:rPr>
          <w:sz w:val="24"/>
          <w:szCs w:val="24"/>
        </w:rPr>
      </w:pPr>
      <w:r>
        <w:rPr>
          <w:i/>
          <w:sz w:val="24"/>
          <w:szCs w:val="24"/>
        </w:rPr>
        <w:t xml:space="preserve">PREFEITURA MUNICIPAL DE RIO DAS FLÔRES,</w:t>
      </w:r>
      <w:r>
        <w:rPr>
          <w:sz w:val="24"/>
          <w:szCs w:val="24"/>
        </w:rPr>
        <w:t xml:space="preserve"> por intermédio do Secretaria </w:t>
      </w:r>
      <w:r>
        <w:rPr>
          <w:sz w:val="24"/>
          <w:szCs w:val="24"/>
        </w:rPr>
        <w:t xml:space="preserve">Municipal de Cultura, com sede na Rua Leoni Ramos - Centro, na cidade de Rio das Flôres/RJ, inscrito no CNPJ sob o nº 29.179.454/000153, neste ato representado(a) pelos Secretários Municipais de ................ – ..........................., nomeado pela </w:t>
      </w:r>
      <w:r>
        <w:rPr>
          <w:color w:val="ff0000"/>
          <w:sz w:val="24"/>
          <w:szCs w:val="24"/>
        </w:rPr>
        <w:t xml:space="preserve">Portaria nº ....... de ....... de janeiro de 202........</w:t>
      </w:r>
      <w:r>
        <w:rPr>
          <w:sz w:val="24"/>
          <w:szCs w:val="24"/>
        </w:rPr>
        <w:t xml:space="preserve">, </w:t>
      </w:r>
      <w:r>
        <w:rPr>
          <w:color w:val="ff0000"/>
          <w:sz w:val="24"/>
          <w:szCs w:val="24"/>
        </w:rPr>
        <w:t xml:space="preserve">publicada no Boletim Municipal de ........ de janeiro de 202......, portador da matrícula funcional nº .........</w:t>
      </w:r>
      <w:r>
        <w:rPr>
          <w:sz w:val="24"/>
          <w:szCs w:val="24"/>
        </w:rPr>
        <w:t xml:space="preserve">, doravante denominado CONTRATANTE, e o(a) .............................., </w:t>
      </w:r>
      <w:r>
        <w:rPr>
          <w:i/>
          <w:sz w:val="24"/>
          <w:szCs w:val="24"/>
        </w:rPr>
        <w:t xml:space="preserve">inscrito(a) no CNPJ/MF sob o nº ............................, sediado(a) na</w:t>
      </w:r>
      <w:r>
        <w:rPr>
          <w:sz w:val="24"/>
          <w:szCs w:val="24"/>
        </w:rPr>
        <w:t xml:space="preserve"> ..................................., doravante designado CONTRATADO, </w:t>
      </w:r>
      <w:r>
        <w:rPr>
          <w:i/>
          <w:sz w:val="24"/>
          <w:szCs w:val="24"/>
        </w:rPr>
        <w:t xml:space="preserve">neste ato representado(a) por</w:t>
      </w:r>
      <w:r>
        <w:rPr>
          <w:sz w:val="24"/>
          <w:szCs w:val="24"/>
        </w:rPr>
        <w:t xml:space="preserve"> .................................. (nome e função no contratado), </w:t>
      </w:r>
      <w:r>
        <w:rPr>
          <w:i/>
          <w:sz w:val="24"/>
          <w:szCs w:val="24"/>
        </w:rPr>
        <w:t xml:space="preserve">conforme atos constitutivos da empresa </w:t>
      </w:r>
      <w:r>
        <w:rPr>
          <w:b/>
          <w:i/>
          <w:sz w:val="24"/>
          <w:szCs w:val="24"/>
        </w:rPr>
        <w:t xml:space="preserve">OU</w:t>
      </w:r>
      <w:r>
        <w:rPr>
          <w:i/>
          <w:sz w:val="24"/>
          <w:szCs w:val="24"/>
        </w:rPr>
        <w:t xml:space="preserve"> procuração apresentada nos autos, </w:t>
      </w:r>
      <w:r>
        <w:rPr>
          <w:sz w:val="24"/>
          <w:szCs w:val="24"/>
        </w:rPr>
        <w:t xml:space="preserve">tendo em vista o que consta no Processo nº .............................. e em observância às disposições da </w:t>
      </w:r>
      <w:hyperlink r:id="rId47" w:tooltip="http://www.planalto.gov.br/ccivil_03/_ato2019-2022/2021/lei/L14133.htm" w:history="1">
        <w:r>
          <w:rPr>
            <w:color w:val="000000"/>
            <w:sz w:val="24"/>
            <w:szCs w:val="24"/>
            <w:u w:val="single"/>
          </w:rPr>
          <w:t xml:space="preserve">Lei nº 14.133, de 1º de abril de 2021</w:t>
        </w:r>
      </w:hyperlink>
      <w:r>
        <w:rPr>
          <w:sz w:val="24"/>
          <w:szCs w:val="24"/>
        </w:rPr>
        <w:t xml:space="preserve">, e demais legislação aplicável, resolvem celebrar o presente Termo de Contrato, decorrente do PREGÃO ELETRÔNICO n. ..../202.., mediante as cláusulas e condições a seguir enunciadas.</w:t>
      </w:r>
      <w:r>
        <w:rPr>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PRIMEIRA – OBJETO (</w:t>
      </w:r>
      <w:r>
        <w:fldChar w:fldCharType="begin"/>
      </w:r>
      <w:r>
        <w:rPr>
          <w:rFonts w:eastAsia="Arial"/>
          <w:b/>
          <w:color w:val="000000"/>
          <w:sz w:val="24"/>
          <w:szCs w:val="24"/>
          <w:u w:val="single"/>
        </w:rPr>
        <w:instrText xml:space="preserve"> HYPERLINK "http://www.planalto.gov.br/ccivil_03/_ato2019-2022/2021/lei/L14133.htm" \l "art92"</w:instrText>
      </w:r>
      <w:r>
        <w:rPr>
          <w:rFonts w:eastAsia="Arial"/>
          <w:b/>
          <w:color w:val="000000"/>
          <w:sz w:val="24"/>
          <w:szCs w:val="24"/>
          <w:u w:val="single"/>
        </w:rPr>
        <w:fldChar w:fldCharType="separate"/>
      </w:r>
      <w:r>
        <w:rPr>
          <w:rFonts w:eastAsia="Arial"/>
          <w:b/>
          <w:color w:val="000000"/>
          <w:sz w:val="24"/>
          <w:szCs w:val="24"/>
          <w:u w:val="single"/>
        </w:rPr>
        <w:t xml:space="preserve">art. 92, I e II</w:t>
      </w:r>
      <w:r>
        <w:rPr>
          <w:rFonts w:eastAsia="Arial"/>
          <w:b/>
          <w:color w:val="000000"/>
          <w:sz w:val="24"/>
          <w:szCs w:val="24"/>
          <w:u w:val="single"/>
        </w:rPr>
        <w:fldChar w:fldCharType="end"/>
      </w:r>
      <w:r>
        <w:rPr>
          <w:rFonts w:eastAsia="Arial"/>
          <w:b/>
          <w:color w:val="000000"/>
          <w:sz w:val="24"/>
          <w:szCs w:val="24"/>
          <w:u w:val="single"/>
        </w:rPr>
        <w:t xml:space="preserve">)</w:t>
      </w:r>
      <w:r/>
    </w:p>
    <w:p>
      <w:pPr>
        <w:pStyle w:val="1056"/>
        <w:numPr>
          <w:ilvl w:val="1"/>
          <w:numId w:val="10"/>
        </w:numPr>
        <w:pBdr/>
        <w:spacing w:line="276" w:lineRule="auto"/>
        <w:ind w:firstLine="0" w:left="0"/>
        <w:rPr>
          <w:rFonts w:eastAsia="Cambria"/>
          <w:color w:val="000000" w:themeColor="text1"/>
          <w:sz w:val="26"/>
          <w:szCs w:val="26"/>
          <w14:ligatures w14:val="none"/>
        </w:rPr>
      </w:pPr>
      <w:r>
        <w:rPr>
          <w:rFonts w:eastAsia="Arial"/>
          <w:color w:val="000000"/>
          <w:sz w:val="24"/>
          <w:szCs w:val="24"/>
          <w:lang w:val="en-US"/>
        </w:rPr>
        <w:t xml:space="preserve">O objeto do presente instrumento é a escolha </w:t>
      </w:r>
      <w:r>
        <w:rPr>
          <w:rFonts w:eastAsia="Arial"/>
          <w:color w:val="000000"/>
          <w:sz w:val="24"/>
          <w:szCs w:val="24"/>
          <w:lang w:val="en-US"/>
        </w:rPr>
        <w:t xml:space="preserve">da proposta mais vantajosa para Futura e Eventual contratação de empresa especializada na prestação de serviços de dedetização incluindo desratização, descupinização, desinsetização, controle de escorpiões e expurgo visando à manutenção dos prédios público</w:t>
      </w:r>
      <w:r>
        <w:rPr>
          <w:rFonts w:eastAsia="Arial"/>
          <w:color w:val="000000"/>
          <w:sz w:val="24"/>
          <w:szCs w:val="24"/>
          <w:lang w:val="en-US"/>
        </w:rPr>
        <w:t xml:space="preserve">s municipais e atendimento das demandas da Prefeitura, Fundos e demais setores da Administração Pública Municipal de Rio das Flores, por meio de Pregão Eletrônico, no sistema Registro de Preços com validade de 12 (doze) meses., nas condições estabelecidas </w:t>
      </w:r>
      <w:r>
        <w:rPr>
          <w:rFonts w:eastAsia="Arial"/>
          <w:color w:val="000000"/>
          <w:sz w:val="24"/>
          <w:szCs w:val="24"/>
        </w:rPr>
        <w:t xml:space="preserve">no Termo de Referência.</w:t>
      </w:r>
      <w:r>
        <w:rPr>
          <w:rFonts w:eastAsia="Cambria"/>
          <w:color w:val="000000" w:themeColor="text1"/>
          <w:sz w:val="26"/>
          <w:szCs w:val="26"/>
          <w14:ligatures w14:val="none"/>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Objeto da contratação:</w:t>
      </w:r>
      <w:r>
        <w:rPr>
          <w:rFonts w:eastAsia="Arial"/>
          <w:color w:val="000000"/>
          <w:sz w:val="24"/>
          <w:szCs w:val="24"/>
        </w:rPr>
      </w:r>
    </w:p>
    <w:tbl>
      <w:tblPr>
        <w:tblStyle w:val="1388"/>
        <w:tblInd w:w="141" w:type="dxa"/>
        <w:tblW w:w="9072" w:type="dxa"/>
        <w:tblCellMar>
          <w:left w:w="108" w:type="dxa"/>
          <w:top w:w="0" w:type="dxa"/>
          <w:right w:w="108" w:type="dxa"/>
          <w:bottom w:w="0" w:type="dxa"/>
        </w:tblCellMar>
        <w:tblBorders/>
        <w:tblLayout w:type="fixed"/>
        <w:tblLook w:val="0400" w:firstRow="0" w:lastRow="0" w:firstColumn="0" w:lastColumn="0" w:noHBand="0" w:noVBand="1"/>
      </w:tblPr>
      <w:tblGrid>
        <w:gridCol w:w="713"/>
        <w:gridCol w:w="2718"/>
        <w:gridCol w:w="567"/>
        <w:gridCol w:w="991"/>
        <w:gridCol w:w="1134"/>
        <w:gridCol w:w="1418"/>
        <w:gridCol w:w="1531"/>
      </w:tblGrid>
      <w:tr>
        <w:trPr/>
        <w:tc>
          <w:tcPr>
            <w:gridSpan w:val="7"/>
            <w:shd w:val="clear" w:color="auto" w:fill="d9d9d9"/>
            <w:tcBorders>
              <w:top w:val="single" w:color="000000" w:sz="4" w:space="0"/>
              <w:left w:val="single" w:color="000000" w:sz="4" w:space="0"/>
              <w:bottom w:val="single" w:color="000000" w:sz="4" w:space="0"/>
              <w:right w:val="single" w:color="000000" w:sz="4" w:space="0"/>
            </w:tcBorders>
            <w:tcW w:w="9072" w:type="dxa"/>
            <w:textDirection w:val="lrTb"/>
            <w:noWrap w:val="false"/>
          </w:tcPr>
          <w:p>
            <w:pPr>
              <w:pStyle w:val="1056"/>
              <w:widowControl w:val="true"/>
              <w:pBdr/>
              <w:spacing w:after="120" w:before="120"/>
              <w:ind w:right="-852"/>
              <w:rPr>
                <w:rFonts w:ascii="Arial" w:hAnsi="Arial" w:cs="Arial"/>
                <w:sz w:val="20"/>
                <w:szCs w:val="20"/>
                <w:lang w:val="pt-BR" w:eastAsia="pt-BR" w:bidi="ar-SA"/>
              </w:rPr>
            </w:pPr>
            <w:r>
              <w:rPr>
                <w:rFonts w:cs="Arial"/>
                <w:b/>
                <w:sz w:val="20"/>
                <w:szCs w:val="20"/>
                <w:lang w:val="pt-BR" w:eastAsia="pt-BR" w:bidi="ar-SA"/>
              </w:rPr>
              <w:t xml:space="preserve">Fornecedor:</w:t>
            </w:r>
            <w:r>
              <w:rPr>
                <w:rFonts w:ascii="Arial" w:hAnsi="Arial" w:cs="Arial"/>
                <w:sz w:val="20"/>
                <w:szCs w:val="20"/>
                <w:lang w:val="pt-BR" w:eastAsia="pt-BR" w:bidi="ar-SA"/>
              </w:rPr>
            </w:r>
          </w:p>
        </w:tc>
      </w:tr>
      <w:tr>
        <w:trPr>
          <w:trHeight w:val="133"/>
        </w:trPr>
        <w:tc>
          <w:tcPr>
            <w:tcBorders>
              <w:top w:val="single" w:color="000000" w:sz="4" w:space="0"/>
              <w:left w:val="single" w:color="000000" w:sz="4" w:space="0"/>
              <w:bottom w:val="single" w:color="000000" w:sz="4" w:space="0"/>
              <w:right w:val="single" w:color="000000" w:sz="4" w:space="0"/>
            </w:tcBorders>
            <w:tcW w:w="713"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t xml:space="preserve">Item</w:t>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2718"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t xml:space="preserve">         </w:t>
            </w:r>
            <w:r>
              <w:rPr>
                <w:rFonts w:cs="Arial"/>
                <w:sz w:val="20"/>
                <w:szCs w:val="20"/>
                <w:lang w:val="pt-BR" w:eastAsia="pt-BR" w:bidi="ar-SA"/>
              </w:rPr>
              <w:t xml:space="preserve">Especificação</w:t>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t xml:space="preserve">UN.</w:t>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991"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t xml:space="preserve">    </w:t>
            </w:r>
            <w:r>
              <w:rPr>
                <w:rFonts w:cs="Arial"/>
                <w:sz w:val="20"/>
                <w:szCs w:val="20"/>
                <w:lang w:val="pt-BR" w:eastAsia="pt-BR" w:bidi="ar-SA"/>
              </w:rPr>
              <w:t xml:space="preserve">Marca</w:t>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t xml:space="preserve">Quantidade</w:t>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t xml:space="preserve">Preço Unitário</w:t>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1531" w:type="dxa"/>
            <w:vAlign w:val="center"/>
            <w:textDirection w:val="lrTb"/>
            <w:noWrap w:val="false"/>
          </w:tcPr>
          <w:p>
            <w:pPr>
              <w:pStyle w:val="1056"/>
              <w:widowControl w:val="true"/>
              <w:pBdr/>
              <w:spacing w:after="0" w:before="0"/>
              <w:ind w:right="-852"/>
              <w:jc w:val="left"/>
              <w:rPr>
                <w:rFonts w:ascii="Arial" w:hAnsi="Arial" w:cs="Arial"/>
                <w:sz w:val="20"/>
                <w:szCs w:val="20"/>
                <w:lang w:val="pt-BR" w:eastAsia="pt-BR" w:bidi="ar-SA"/>
              </w:rPr>
            </w:pPr>
            <w:r>
              <w:rPr>
                <w:rFonts w:cs="Arial"/>
                <w:sz w:val="20"/>
                <w:szCs w:val="20"/>
                <w:lang w:val="pt-BR" w:eastAsia="pt-BR" w:bidi="ar-SA"/>
              </w:rPr>
              <w:t xml:space="preserve">Preço Total</w:t>
            </w:r>
            <w:r>
              <w:rPr>
                <w:rFonts w:ascii="Arial" w:hAnsi="Arial" w:cs="Arial"/>
                <w:sz w:val="20"/>
                <w:szCs w:val="20"/>
                <w:lang w:val="pt-BR" w:eastAsia="pt-BR" w:bidi="ar-SA"/>
              </w:rPr>
            </w:r>
          </w:p>
        </w:tc>
      </w:tr>
      <w:tr>
        <w:trPr>
          <w:trHeight w:val="133"/>
        </w:trPr>
        <w:tc>
          <w:tcPr>
            <w:tcBorders>
              <w:top w:val="single" w:color="000000" w:sz="4" w:space="0"/>
              <w:left w:val="single" w:color="000000" w:sz="4" w:space="0"/>
              <w:bottom w:val="single" w:color="000000" w:sz="4" w:space="0"/>
              <w:right w:val="single" w:color="000000" w:sz="4" w:space="0"/>
            </w:tcBorders>
            <w:tcW w:w="713"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2718" w:type="dxa"/>
            <w:vAlign w:val="center"/>
            <w:textDirection w:val="lrTb"/>
            <w:noWrap w:val="false"/>
          </w:tcPr>
          <w:p>
            <w:pPr>
              <w:pStyle w:val="1056"/>
              <w:widowControl w:val="true"/>
              <w:pBdr/>
              <w:spacing w:after="0" w:before="0"/>
              <w:ind/>
              <w:rPr>
                <w:rFonts w:ascii="ArialMT" w:hAnsi="ArialMT" w:eastAsia="ArialMT" w:cs="ArialMT"/>
                <w:sz w:val="16"/>
                <w:szCs w:val="16"/>
              </w:rPr>
            </w:pPr>
            <w:r>
              <w:rPr>
                <w:rFonts w:ascii="ArialMT" w:hAnsi="ArialMT" w:eastAsia="ArialMT" w:cs="ArialMT"/>
                <w:sz w:val="16"/>
                <w:szCs w:val="16"/>
              </w:rPr>
            </w:r>
            <w:r>
              <w:rPr>
                <w:rFonts w:ascii="ArialMT" w:hAnsi="ArialMT" w:eastAsia="ArialMT" w:cs="ArialMT"/>
                <w:sz w:val="16"/>
                <w:szCs w:val="16"/>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991"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Style w:val="1056"/>
              <w:widowControl w:val="true"/>
              <w:pBdr/>
              <w:spacing w:after="120" w:before="120"/>
              <w:ind w:right="-852"/>
              <w:jc w:val="left"/>
              <w:rPr>
                <w:rFonts w:ascii="Arial" w:hAnsi="Arial" w:cs="Arial"/>
                <w:sz w:val="20"/>
                <w:szCs w:val="20"/>
                <w:lang w:val="pt-BR" w:eastAsia="pt-BR" w:bidi="ar-SA"/>
              </w:rPr>
            </w:pPr>
            <w:r>
              <w:rPr>
                <w:rFonts w:cs="Arial"/>
                <w:sz w:val="20"/>
                <w:szCs w:val="20"/>
                <w:lang w:val="pt-BR" w:eastAsia="pt-BR" w:bidi="ar-SA"/>
              </w:rPr>
            </w:r>
            <w:r>
              <w:rPr>
                <w:rFonts w:ascii="Arial" w:hAnsi="Arial" w:cs="Arial"/>
                <w:sz w:val="20"/>
                <w:szCs w:val="20"/>
                <w:lang w:val="pt-BR" w:eastAsia="pt-BR" w:bidi="ar-SA"/>
              </w:rPr>
            </w:r>
          </w:p>
        </w:tc>
        <w:tc>
          <w:tcPr>
            <w:tcBorders>
              <w:top w:val="single" w:color="000000" w:sz="4" w:space="0"/>
              <w:left w:val="single" w:color="000000" w:sz="4" w:space="0"/>
              <w:bottom w:val="single" w:color="000000" w:sz="4" w:space="0"/>
              <w:right w:val="single" w:color="000000" w:sz="4" w:space="0"/>
            </w:tcBorders>
            <w:tcW w:w="1531" w:type="dxa"/>
            <w:vAlign w:val="center"/>
            <w:textDirection w:val="lrTb"/>
            <w:noWrap w:val="false"/>
          </w:tcPr>
          <w:p>
            <w:pPr>
              <w:pStyle w:val="1056"/>
              <w:widowControl w:val="true"/>
              <w:pBdr/>
              <w:spacing w:after="0" w:before="0"/>
              <w:ind w:right="-852"/>
              <w:jc w:val="left"/>
              <w:rPr>
                <w:rFonts w:ascii="Arial" w:hAnsi="Arial" w:cs="Arial"/>
                <w:sz w:val="20"/>
                <w:szCs w:val="20"/>
                <w:lang w:val="pt-BR" w:eastAsia="pt-BR" w:bidi="ar-SA"/>
              </w:rPr>
            </w:pPr>
            <w:r>
              <w:rPr>
                <w:rFonts w:cs="Arial"/>
                <w:sz w:val="20"/>
                <w:szCs w:val="20"/>
                <w:lang w:val="pt-BR" w:eastAsia="pt-BR" w:bidi="ar-SA"/>
              </w:rPr>
            </w:r>
            <w:r/>
            <w:bookmarkStart w:id="91" w:name="_heading=h.2szc72q"/>
            <w:r/>
            <w:bookmarkEnd w:id="91"/>
            <w:r/>
            <w:r>
              <w:rPr>
                <w:rFonts w:ascii="Arial" w:hAnsi="Arial" w:cs="Arial"/>
                <w:sz w:val="20"/>
                <w:szCs w:val="20"/>
                <w:lang w:val="pt-BR" w:eastAsia="pt-BR" w:bidi="ar-SA"/>
              </w:rPr>
            </w:r>
          </w:p>
        </w:tc>
      </w:tr>
    </w:tbl>
    <w:p>
      <w:pPr>
        <w:pStyle w:val="1056"/>
        <w:pBdr/>
        <w:spacing w:line="276" w:lineRule="auto"/>
        <w:ind/>
        <w:rPr>
          <w:rFonts w:eastAsia="Arial"/>
          <w:color w:val="000000"/>
          <w:sz w:val="24"/>
          <w:szCs w:val="24"/>
        </w:rPr>
      </w:pPr>
      <w:r>
        <w:rPr>
          <w:rFonts w:eastAsia="Arial"/>
          <w:color w:val="000000"/>
          <w:sz w:val="24"/>
          <w:szCs w:val="24"/>
        </w:rPr>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Vinculam esta contratação, independentemente de transcrição:</w:t>
      </w:r>
      <w:r>
        <w:rPr>
          <w:rFonts w:eastAsia="Arial"/>
          <w:color w:val="000000"/>
          <w:sz w:val="24"/>
          <w:szCs w:val="24"/>
        </w:rPr>
      </w:r>
    </w:p>
    <w:p>
      <w:pPr>
        <w:pStyle w:val="1056"/>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O Termo de Referência;</w:t>
      </w:r>
      <w:r>
        <w:rPr>
          <w:rFonts w:eastAsia="Arial"/>
          <w:color w:val="000000"/>
          <w:sz w:val="24"/>
          <w:szCs w:val="24"/>
        </w:rPr>
      </w:r>
    </w:p>
    <w:p>
      <w:pPr>
        <w:pStyle w:val="1056"/>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O Edital da Licitação;</w:t>
      </w:r>
      <w:r>
        <w:rPr>
          <w:rFonts w:eastAsia="Arial"/>
          <w:color w:val="000000"/>
          <w:sz w:val="24"/>
          <w:szCs w:val="24"/>
        </w:rPr>
      </w:r>
    </w:p>
    <w:p>
      <w:pPr>
        <w:pStyle w:val="1056"/>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A Proposta do contratado;</w:t>
      </w:r>
      <w:r>
        <w:rPr>
          <w:rFonts w:eastAsia="Arial"/>
          <w:color w:val="000000"/>
          <w:sz w:val="24"/>
          <w:szCs w:val="24"/>
        </w:rPr>
      </w:r>
    </w:p>
    <w:p>
      <w:pPr>
        <w:pStyle w:val="1056"/>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Eventuais anexos dos documentos supracitados.</w:t>
      </w:r>
      <w:r>
        <w:rPr>
          <w:rFonts w:eastAsia="Arial"/>
          <w:color w:val="000000"/>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SEGUNDA – VIGÊNCIA E PRORROGAÇÃO</w:t>
      </w: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prazo de vigência da contratação é de 12 (doze) meses contados da emissão da Solicitação de Fornecimento (S.F.), prorrogável por até 05 (cinco) anos, na forma dos </w:t>
      </w:r>
      <w:r>
        <w:fldChar w:fldCharType="begin"/>
      </w:r>
      <w:r>
        <w:rPr>
          <w:rFonts w:eastAsia="Arial"/>
          <w:i/>
          <w:color w:val="000000"/>
          <w:sz w:val="24"/>
          <w:szCs w:val="24"/>
          <w:u w:val="single"/>
        </w:rPr>
        <w:instrText xml:space="preserve"> HYPERLINK "http://www.planalto.gov.br/ccivil_03/_ato2019-2022/2021/lei/L14133.htm" \l "art106"</w:instrText>
      </w:r>
      <w:r>
        <w:rPr>
          <w:rFonts w:eastAsia="Arial"/>
          <w:i/>
          <w:color w:val="000000"/>
          <w:sz w:val="24"/>
          <w:szCs w:val="24"/>
          <w:u w:val="single"/>
        </w:rPr>
        <w:fldChar w:fldCharType="separate"/>
      </w:r>
      <w:r>
        <w:rPr>
          <w:rFonts w:eastAsia="Arial"/>
          <w:i/>
          <w:color w:val="000000"/>
          <w:sz w:val="24"/>
          <w:szCs w:val="24"/>
          <w:u w:val="single"/>
        </w:rPr>
        <w:t xml:space="preserve">artigos 106 e 107 da Lei n° 14.133, de 2021</w:t>
      </w:r>
      <w:r>
        <w:rPr>
          <w:rFonts w:eastAsia="Arial"/>
          <w:i/>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A prorrogação de que trata este item é condicionada ao ateste, pela autoridade competente, de que as condições e os preços permanecem vantajosos para a Administração, permitida a negociação com o contratado.</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contratado não tem direito subjetivo à prorrogação contratual.</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 prorrogação de contrato deverá ser promovida mediante celebração de termo aditivo.</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contrato não poderá ser prorrogado quando o contratado tiver sido penalizado nas sanções de declaração de inidoneidade ou impedimento de licitar e contratar com poder público, observadas as abrangências de aplicação.</w:t>
      </w:r>
      <w:r>
        <w:rPr>
          <w:rFonts w:eastAsia="Arial"/>
          <w:color w:val="000000"/>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TERCEIRA – MODELOS DE EXECUÇÃO E GESTÃO CONTRATUAIS (</w:t>
      </w:r>
      <w:r>
        <w:fldChar w:fldCharType="begin"/>
      </w:r>
      <w:r>
        <w:rPr>
          <w:rFonts w:eastAsia="Arial"/>
          <w:b/>
          <w:color w:val="000000"/>
          <w:sz w:val="24"/>
          <w:szCs w:val="24"/>
          <w:u w:val="single"/>
        </w:rPr>
        <w:instrText xml:space="preserve"> HYPERLINK "http://www.planalto.gov.br/ccivil_03/_ato2019-2022/2021/lei/L14133.htm" \l "art92"</w:instrText>
      </w:r>
      <w:r>
        <w:rPr>
          <w:rFonts w:eastAsia="Arial"/>
          <w:b/>
          <w:color w:val="000000"/>
          <w:sz w:val="24"/>
          <w:szCs w:val="24"/>
          <w:u w:val="single"/>
        </w:rPr>
        <w:fldChar w:fldCharType="separate"/>
      </w:r>
      <w:r>
        <w:rPr>
          <w:rFonts w:eastAsia="Arial"/>
          <w:b/>
          <w:color w:val="000000"/>
          <w:sz w:val="24"/>
          <w:szCs w:val="24"/>
          <w:u w:val="single"/>
        </w:rPr>
        <w:t xml:space="preserve">art. 92, IV, VII e XVIII)</w:t>
      </w:r>
      <w:r>
        <w:rPr>
          <w:rFonts w:eastAsia="Arial"/>
          <w:b/>
          <w:color w:val="000000"/>
          <w:sz w:val="24"/>
          <w:szCs w:val="24"/>
          <w:u w:val="single"/>
        </w:rPr>
        <w:fldChar w:fldCharType="end"/>
      </w: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regime de execução contratual, os modelos de gestão e de execução, assim como os prazos e condições de conclusão, entrega, observação e recebimento do objeto constam no Termo de Referência, anexo a este Contrato.</w:t>
      </w:r>
      <w:r>
        <w:rPr>
          <w:rFonts w:eastAsia="Arial"/>
          <w:color w:val="000000"/>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QUARTA – SUBCONTRATAÇÃO</w:t>
      </w: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Não será admitida a subcontratação do objeto contratual.</w:t>
      </w:r>
      <w:r>
        <w:rPr>
          <w:rFonts w:eastAsia="Arial"/>
          <w:color w:val="000000"/>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QUINTA – PREÇO (</w:t>
      </w:r>
      <w:r>
        <w:fldChar w:fldCharType="begin"/>
      </w:r>
      <w:r>
        <w:rPr>
          <w:rFonts w:eastAsia="Arial"/>
          <w:b/>
          <w:color w:val="000000"/>
          <w:sz w:val="24"/>
          <w:szCs w:val="24"/>
          <w:u w:val="single"/>
        </w:rPr>
        <w:instrText xml:space="preserve"> HYPERLINK "http://www.planalto.gov.br/ccivil_03/_ato2019-2022/2021/lei/L14133.htm" \l "art92"</w:instrText>
      </w:r>
      <w:r>
        <w:rPr>
          <w:rFonts w:eastAsia="Arial"/>
          <w:b/>
          <w:color w:val="000000"/>
          <w:sz w:val="24"/>
          <w:szCs w:val="24"/>
          <w:u w:val="single"/>
        </w:rPr>
        <w:fldChar w:fldCharType="separate"/>
      </w:r>
      <w:r>
        <w:rPr>
          <w:rFonts w:eastAsia="Arial"/>
          <w:b/>
          <w:color w:val="000000"/>
          <w:sz w:val="24"/>
          <w:szCs w:val="24"/>
          <w:u w:val="single"/>
        </w:rPr>
        <w:t xml:space="preserve">art. 92, V)</w:t>
      </w:r>
      <w:r>
        <w:rPr>
          <w:rFonts w:eastAsia="Arial"/>
          <w:b/>
          <w:color w:val="000000"/>
          <w:sz w:val="24"/>
          <w:szCs w:val="24"/>
          <w:u w:val="single"/>
        </w:rPr>
        <w:fldChar w:fldCharType="end"/>
      </w: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valor total da contratação é de R$.......... (.....)</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No valor acima estão incluídas todas as despesas ordinárias diretas e indiretas de</w:t>
      </w:r>
      <w:r>
        <w:rPr>
          <w:rFonts w:eastAsia="Arial"/>
          <w:color w:val="000000"/>
          <w:sz w:val="24"/>
          <w:szCs w:val="24"/>
        </w:rPr>
        <w:t xml:space="preserve">correntes da execução do objeto, inclusive tributos e/ou impostos, encargos sociais, trabalhistas, previdenciários, fiscais e comerciais incidentes, taxa de administração, frete, seguro e outros necessários ao cumprimento integral do objeto da contratação.</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valor acima é meramente estimativo, de forma que os pagamentos devidos ao contratado dependerão dos quantitativos efetivamente fornecidos.</w:t>
      </w:r>
      <w:r>
        <w:rPr>
          <w:rFonts w:eastAsia="Arial"/>
          <w:color w:val="000000"/>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SEXTA - PAGAMENTO (</w:t>
      </w:r>
      <w:r>
        <w:fldChar w:fldCharType="begin"/>
      </w:r>
      <w:r>
        <w:rPr>
          <w:rFonts w:eastAsia="Arial"/>
          <w:b/>
          <w:color w:val="000000"/>
          <w:sz w:val="24"/>
          <w:szCs w:val="24"/>
          <w:u w:val="single"/>
        </w:rPr>
        <w:instrText xml:space="preserve"> HYPERLINK "http://www.planalto.gov.br/ccivil_03/_ato2019-2022/2021/lei/L14133.htm" \l "art92"</w:instrText>
      </w:r>
      <w:r>
        <w:rPr>
          <w:rFonts w:eastAsia="Arial"/>
          <w:b/>
          <w:color w:val="000000"/>
          <w:sz w:val="24"/>
          <w:szCs w:val="24"/>
          <w:u w:val="single"/>
        </w:rPr>
        <w:fldChar w:fldCharType="separate"/>
      </w:r>
      <w:r>
        <w:rPr>
          <w:rFonts w:eastAsia="Arial"/>
          <w:b/>
          <w:color w:val="000000"/>
          <w:sz w:val="24"/>
          <w:szCs w:val="24"/>
          <w:u w:val="single"/>
        </w:rPr>
        <w:t xml:space="preserve">art. 92, V e VI</w:t>
      </w:r>
      <w:r>
        <w:rPr>
          <w:rFonts w:eastAsia="Arial"/>
          <w:b/>
          <w:color w:val="000000"/>
          <w:sz w:val="24"/>
          <w:szCs w:val="24"/>
          <w:u w:val="single"/>
        </w:rPr>
        <w:fldChar w:fldCharType="end"/>
      </w:r>
      <w:r>
        <w:rPr>
          <w:rFonts w:eastAsia="Arial"/>
          <w:b/>
          <w:color w:val="000000"/>
          <w:sz w:val="24"/>
          <w:szCs w:val="24"/>
          <w:u w:val="single"/>
        </w:rPr>
        <w:t xml:space="preserve">)</w:t>
      </w: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prazo para pagamento ao contratado e demais condições a ele referentes encontram-se definidos no Termo de Referência, anexo a este Contrato.</w:t>
      </w:r>
      <w:r>
        <w:rPr>
          <w:rFonts w:eastAsia="Arial"/>
          <w:color w:val="000000"/>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SÉTIMA - REAJUSTE (</w:t>
      </w:r>
      <w:r>
        <w:fldChar w:fldCharType="begin"/>
      </w:r>
      <w:r>
        <w:rPr>
          <w:rFonts w:eastAsia="Arial"/>
          <w:b/>
          <w:color w:val="000000"/>
          <w:sz w:val="24"/>
          <w:szCs w:val="24"/>
          <w:u w:val="single"/>
        </w:rPr>
        <w:instrText xml:space="preserve"> HYPERLINK "http://www.planalto.gov.br/ccivil_03/_ato2019-2022/2021/lei/L14133.htm" \l "art92"</w:instrText>
      </w:r>
      <w:r>
        <w:rPr>
          <w:rFonts w:eastAsia="Arial"/>
          <w:b/>
          <w:color w:val="000000"/>
          <w:sz w:val="24"/>
          <w:szCs w:val="24"/>
          <w:u w:val="single"/>
        </w:rPr>
        <w:fldChar w:fldCharType="separate"/>
      </w:r>
      <w:r>
        <w:rPr>
          <w:rFonts w:eastAsia="Arial"/>
          <w:b/>
          <w:color w:val="000000"/>
          <w:sz w:val="24"/>
          <w:szCs w:val="24"/>
          <w:u w:val="single"/>
        </w:rPr>
        <w:t xml:space="preserve">art. 92, V)</w:t>
      </w:r>
      <w:r>
        <w:rPr>
          <w:rFonts w:eastAsia="Arial"/>
          <w:b/>
          <w:color w:val="000000"/>
          <w:sz w:val="24"/>
          <w:szCs w:val="24"/>
          <w:u w:val="single"/>
        </w:rPr>
        <w:fldChar w:fldCharType="end"/>
      </w: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Durante a vigência do CONTRATO, os valores serão </w:t>
      </w:r>
      <w:r>
        <w:rPr>
          <w:rFonts w:eastAsia="Arial"/>
          <w:b/>
          <w:color w:val="000000"/>
          <w:sz w:val="24"/>
          <w:szCs w:val="24"/>
        </w:rPr>
        <w:t xml:space="preserve">fixos e irreajustáveis</w:t>
      </w:r>
      <w:r>
        <w:rPr>
          <w:rFonts w:eastAsia="Arial"/>
          <w:color w:val="000000"/>
          <w:sz w:val="24"/>
          <w:szCs w:val="24"/>
        </w:rPr>
        <w:t xml:space="preserve">, </w:t>
      </w:r>
      <w:r>
        <w:rPr>
          <w:rFonts w:eastAsia="Arial"/>
          <w:b/>
          <w:color w:val="000000"/>
          <w:sz w:val="24"/>
          <w:szCs w:val="24"/>
          <w:u w:val="single"/>
        </w:rPr>
        <w:t xml:space="preserve">exceto</w:t>
      </w:r>
      <w:r>
        <w:rPr>
          <w:rFonts w:eastAsia="Arial"/>
          <w:color w:val="000000"/>
          <w:sz w:val="24"/>
          <w:szCs w:val="24"/>
        </w:rPr>
        <w:t xml:space="preserve"> nas hipóteses, devidamente comprovadas, de ocorrência de situação prevista na </w:t>
      </w:r>
      <w:r>
        <w:rPr>
          <w:rFonts w:eastAsia="Arial"/>
          <w:b/>
          <w:color w:val="000000"/>
          <w:sz w:val="24"/>
          <w:szCs w:val="24"/>
        </w:rPr>
        <w:t xml:space="preserve">alínea “d” do inciso II do art. 124 da Lei Federal nº 14.133, de 2021</w:t>
      </w:r>
      <w:r>
        <w:rPr>
          <w:rFonts w:eastAsia="Arial"/>
          <w:color w:val="000000"/>
          <w:sz w:val="24"/>
          <w:szCs w:val="24"/>
        </w:rPr>
        <w:t xml:space="preserve"> ou de redução dos valores praticados no mercado.</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No critério de reajuste poderá ser utilizado: índices de variação de preços como o Índice de Preços ao Consumidor (</w:t>
      </w:r>
      <w:r>
        <w:rPr>
          <w:rFonts w:eastAsia="Arial"/>
          <w:b/>
          <w:color w:val="000000"/>
          <w:sz w:val="24"/>
          <w:szCs w:val="24"/>
        </w:rPr>
        <w:t xml:space="preserve">IPC</w:t>
      </w:r>
      <w:r>
        <w:rPr>
          <w:rFonts w:eastAsia="Arial"/>
          <w:color w:val="000000"/>
          <w:sz w:val="24"/>
          <w:szCs w:val="24"/>
        </w:rPr>
        <w:t xml:space="preserve">), Índice Geral de Preços do Mercado (</w:t>
      </w:r>
      <w:r>
        <w:rPr>
          <w:rFonts w:eastAsia="Arial"/>
          <w:b/>
          <w:color w:val="000000"/>
          <w:sz w:val="24"/>
          <w:szCs w:val="24"/>
        </w:rPr>
        <w:t xml:space="preserve">IGP-M</w:t>
      </w:r>
      <w:r>
        <w:rPr>
          <w:rFonts w:eastAsia="Arial"/>
          <w:color w:val="000000"/>
          <w:sz w:val="24"/>
          <w:szCs w:val="24"/>
        </w:rPr>
        <w:t xml:space="preserve">) ou outro mecanismo de recomposição dos preços pactuados.</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Mesmo comprovada a ocorrência de situação prevista na </w:t>
      </w:r>
      <w:r>
        <w:rPr>
          <w:rFonts w:eastAsia="Arial"/>
          <w:b/>
          <w:color w:val="000000"/>
          <w:sz w:val="24"/>
          <w:szCs w:val="24"/>
        </w:rPr>
        <w:t xml:space="preserve">alínea “d” do inciso II do art. 124 da Lei Federal nº 14.133, de 2021</w:t>
      </w:r>
      <w:r>
        <w:rPr>
          <w:rFonts w:eastAsia="Arial"/>
          <w:color w:val="000000"/>
          <w:sz w:val="24"/>
          <w:szCs w:val="24"/>
        </w:rPr>
        <w:t xml:space="preserve"> se a Administração julgar conveniente poderá</w:t>
      </w:r>
      <w:r>
        <w:rPr>
          <w:rFonts w:eastAsia="Arial"/>
          <w:b/>
          <w:color w:val="000000"/>
          <w:sz w:val="24"/>
          <w:szCs w:val="24"/>
        </w:rPr>
        <w:t xml:space="preserve"> optar por cancelar</w:t>
      </w:r>
      <w:r>
        <w:rPr>
          <w:rFonts w:eastAsia="Arial"/>
          <w:color w:val="000000"/>
          <w:sz w:val="24"/>
          <w:szCs w:val="24"/>
        </w:rPr>
        <w:t xml:space="preserve"> a CONTRATO e iniciar outro processo licitatório;</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Quando o valor constante no CONTRATO, por motivo superveniente, tornar-se superior ou inferior ao valor praticado no mercado, o Órgão Gerenciador deverá convocar o fornecedor visando a </w:t>
      </w:r>
      <w:r>
        <w:rPr>
          <w:rFonts w:eastAsia="Arial"/>
          <w:b/>
          <w:color w:val="000000"/>
          <w:sz w:val="24"/>
          <w:szCs w:val="24"/>
        </w:rPr>
        <w:t xml:space="preserve">negociação para adequação ao praticado pelo mercado</w:t>
      </w:r>
      <w:r>
        <w:rPr>
          <w:rFonts w:eastAsia="Arial"/>
          <w:color w:val="000000"/>
          <w:sz w:val="24"/>
          <w:szCs w:val="24"/>
        </w:rPr>
        <w:t xml:space="preserve">. Frustrada a negociação, o fornecedor será liberado do compromisso assumido, e convocado(s) outro(s) fornecedor (es) na ordem de classificação instituída na fase de lances do Certame;</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O(s) fornecedor (es) fica(m) obrigado(s) a comunicar (em) a </w:t>
      </w:r>
      <w:r>
        <w:rPr>
          <w:rFonts w:eastAsia="Arial"/>
          <w:b/>
          <w:color w:val="000000"/>
          <w:sz w:val="24"/>
          <w:szCs w:val="24"/>
        </w:rPr>
        <w:t xml:space="preserve">variação de preços</w:t>
      </w:r>
      <w:r>
        <w:rPr>
          <w:rFonts w:eastAsia="Arial"/>
          <w:color w:val="000000"/>
          <w:sz w:val="24"/>
          <w:szCs w:val="24"/>
        </w:rPr>
        <w:t xml:space="preserve"> quando este se posicionar abaixo do preço de mercado;</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Quando o(s) </w:t>
      </w:r>
      <w:r>
        <w:rPr>
          <w:rFonts w:eastAsia="Arial"/>
          <w:b/>
          <w:color w:val="000000"/>
          <w:sz w:val="24"/>
          <w:szCs w:val="24"/>
        </w:rPr>
        <w:t xml:space="preserve">valor (es) de mercado tornar-se superior (es) ao(s) valor (es) do(s) lance(s) vencedor (es) da licitação</w:t>
      </w:r>
      <w:r>
        <w:rPr>
          <w:rFonts w:eastAsia="Arial"/>
          <w:color w:val="000000"/>
          <w:sz w:val="24"/>
          <w:szCs w:val="24"/>
        </w:rPr>
        <w:t xml:space="preserve"> e o(s) fornecedor (es), mediante requerimento devidamente comprovado, não puder cumprir o compromisso, o Órgão Gerenciador poderá liberá-lo do com</w:t>
      </w:r>
      <w:r>
        <w:rPr>
          <w:rFonts w:eastAsia="Arial"/>
          <w:color w:val="000000"/>
          <w:sz w:val="24"/>
          <w:szCs w:val="24"/>
        </w:rPr>
        <w:t xml:space="preserve">promisso assumido, sem aplicação de penalidade, confirmando a veracidade dos motivos por meio de comprovante(s) apresentado(s) e se a comunicação ocorrer antes do pedido de fornecimento, podendo convocar os demais fornecedor (es) na ordem de classificação;</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b/>
          <w:color w:val="000000"/>
          <w:sz w:val="24"/>
          <w:szCs w:val="24"/>
        </w:rPr>
        <w:t xml:space="preserve">Não havendo êxito nas negociações</w:t>
      </w:r>
      <w:r>
        <w:rPr>
          <w:rFonts w:eastAsia="Arial"/>
          <w:color w:val="000000"/>
          <w:sz w:val="24"/>
          <w:szCs w:val="24"/>
        </w:rPr>
        <w:t xml:space="preserve">, o Órgão Gerenciador procederá à </w:t>
      </w:r>
      <w:r>
        <w:rPr>
          <w:rFonts w:eastAsia="Arial"/>
          <w:b/>
          <w:color w:val="000000"/>
          <w:sz w:val="24"/>
          <w:szCs w:val="24"/>
        </w:rPr>
        <w:t xml:space="preserve">REVOGAÇÃO </w:t>
      </w:r>
      <w:r>
        <w:rPr>
          <w:rFonts w:eastAsia="Arial"/>
          <w:color w:val="000000"/>
          <w:sz w:val="24"/>
          <w:szCs w:val="24"/>
        </w:rPr>
        <w:t xml:space="preserve">do item do CONTRATO e adotará as medidas para obter contratação mais vantajosa;</w:t>
      </w:r>
      <w:r>
        <w:rPr>
          <w:rFonts w:eastAsia="Arial"/>
          <w:color w:val="000000"/>
          <w:sz w:val="24"/>
          <w:szCs w:val="24"/>
        </w:rPr>
      </w:r>
    </w:p>
    <w:p>
      <w:pPr>
        <w:pStyle w:val="1056"/>
        <w:numPr>
          <w:ilvl w:val="2"/>
          <w:numId w:val="10"/>
        </w:numPr>
        <w:pBdr/>
        <w:spacing w:line="276" w:lineRule="auto"/>
        <w:ind w:hanging="504" w:left="426"/>
        <w:rPr>
          <w:rFonts w:eastAsia="Arial"/>
          <w:color w:val="000000"/>
          <w:sz w:val="24"/>
          <w:szCs w:val="24"/>
        </w:rPr>
      </w:pPr>
      <w:r>
        <w:rPr>
          <w:rFonts w:eastAsia="Arial"/>
          <w:b/>
          <w:color w:val="000000"/>
          <w:sz w:val="24"/>
          <w:szCs w:val="24"/>
        </w:rPr>
        <w:t xml:space="preserve">O(s) valor (es) revisado(s) será(ão) publicado(s)</w:t>
      </w:r>
      <w:r>
        <w:rPr>
          <w:rFonts w:eastAsia="Arial"/>
          <w:color w:val="000000"/>
          <w:sz w:val="24"/>
          <w:szCs w:val="24"/>
        </w:rPr>
        <w:t xml:space="preserve"> no Informativo Oficial do Município de Rio das Flores.</w:t>
      </w:r>
      <w:r>
        <w:rPr>
          <w:rFonts w:eastAsia="Arial"/>
          <w:color w:val="000000"/>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OITAVA - OBRIGAÇÕES DO CONTRATANTE (</w:t>
      </w:r>
      <w:r>
        <w:fldChar w:fldCharType="begin"/>
      </w:r>
      <w:r>
        <w:rPr>
          <w:rFonts w:eastAsia="Arial"/>
          <w:b/>
          <w:color w:val="000000"/>
          <w:sz w:val="24"/>
          <w:szCs w:val="24"/>
          <w:u w:val="single"/>
        </w:rPr>
        <w:instrText xml:space="preserve"> HYPERLINK "http://www.planalto.gov.br/ccivil_03/_ato2019-2022/2021/lei/L14133.htm" \l "art92"</w:instrText>
      </w:r>
      <w:r>
        <w:rPr>
          <w:rFonts w:eastAsia="Arial"/>
          <w:b/>
          <w:color w:val="000000"/>
          <w:sz w:val="24"/>
          <w:szCs w:val="24"/>
          <w:u w:val="single"/>
        </w:rPr>
        <w:fldChar w:fldCharType="separate"/>
      </w:r>
      <w:r>
        <w:rPr>
          <w:rFonts w:eastAsia="Arial"/>
          <w:b/>
          <w:color w:val="000000"/>
          <w:sz w:val="24"/>
          <w:szCs w:val="24"/>
          <w:u w:val="single"/>
        </w:rPr>
        <w:t xml:space="preserve">art. 92, X, XI e XIV</w:t>
      </w:r>
      <w:r>
        <w:rPr>
          <w:rFonts w:eastAsia="Arial"/>
          <w:b/>
          <w:color w:val="000000"/>
          <w:sz w:val="24"/>
          <w:szCs w:val="24"/>
          <w:u w:val="single"/>
        </w:rPr>
        <w:fldChar w:fldCharType="end"/>
      </w:r>
      <w:r>
        <w:rPr>
          <w:rFonts w:eastAsia="Arial"/>
          <w:b/>
          <w:color w:val="000000"/>
          <w:sz w:val="24"/>
          <w:szCs w:val="24"/>
          <w:u w:val="single"/>
        </w:rPr>
        <w:t xml:space="preserve">)</w:t>
      </w:r>
      <w:r/>
    </w:p>
    <w:p>
      <w:pPr>
        <w:pStyle w:val="1056"/>
        <w:numPr>
          <w:ilvl w:val="1"/>
          <w:numId w:val="10"/>
        </w:numPr>
        <w:pBdr/>
        <w:spacing w:line="276" w:lineRule="auto"/>
        <w:ind w:firstLine="0" w:left="0"/>
        <w:rPr>
          <w:rFonts w:eastAsia="Arial"/>
          <w:b/>
          <w:color w:val="000000"/>
          <w:sz w:val="24"/>
          <w:szCs w:val="24"/>
        </w:rPr>
      </w:pPr>
      <w:r>
        <w:rPr>
          <w:rFonts w:eastAsia="Arial"/>
          <w:color w:val="000000"/>
          <w:sz w:val="24"/>
          <w:szCs w:val="24"/>
        </w:rPr>
        <w:t xml:space="preserve">São obrigações do Contratante:</w:t>
      </w:r>
      <w:r>
        <w:rPr>
          <w:rFonts w:eastAsia="Arial"/>
          <w:b/>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Exigir o cumprimento de todas as obrigações assumidas pelo Contratado, de acordo com o contrato e seus anexos;</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Receber o objeto no prazo e condições estabelecidas no Termo de Referência;</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Notificar o Contratado, por escrito, sobre vícios, defeitos ou incorreções verificadas no objeto fornecido, para que seja por ele substituído, reparado ou corrigido, no total ou em parte, às suas expensas;</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Acompanhar e fiscalizar a execução do contrato e o cumprimento das obrigações pelo Contratado;</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Efetuar o pagamento ao Contratado do valor correspondente ao fornecimento do objeto, no prazo, forma e condições estabelecidos no presente Contrato e no Termo de Referência.</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Aplicar ao Contratado as sanções previstas na lei e neste Contrato; </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Cientificar o órgão de representação judicial da Advocacia-Geral da União para adoção das medidas cabíveis quando do descumprimento de obrigações pelo Contratado;</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r>
        <w:rPr>
          <w:rFonts w:eastAsia="Arial"/>
          <w:color w:val="000000"/>
          <w:sz w:val="24"/>
          <w:szCs w:val="24"/>
        </w:rPr>
      </w:r>
    </w:p>
    <w:p>
      <w:pPr>
        <w:pStyle w:val="1056"/>
        <w:numPr>
          <w:ilvl w:val="1"/>
          <w:numId w:val="10"/>
        </w:numPr>
        <w:pBdr/>
        <w:spacing w:line="276" w:lineRule="auto"/>
        <w:ind w:firstLine="0" w:left="0"/>
        <w:rPr>
          <w:rFonts w:eastAsia="Arial"/>
          <w:b/>
          <w:color w:val="000000"/>
          <w:sz w:val="24"/>
          <w:szCs w:val="24"/>
        </w:rPr>
      </w:pPr>
      <w:r>
        <w:rPr>
          <w:rFonts w:eastAsia="Arial"/>
          <w:color w:val="000000"/>
          <w:sz w:val="24"/>
          <w:szCs w:val="24"/>
        </w:rPr>
        <w:t xml:space="preserve"> </w:t>
      </w:r>
      <w:r>
        <w:rPr>
          <w:rFonts w:eastAsia="Arial"/>
          <w:color w:val="000000"/>
          <w:sz w:val="24"/>
          <w:szCs w:val="24"/>
        </w:rPr>
        <w:t xml:space="preserve">A Administração terá o prazo de</w:t>
      </w:r>
      <w:r>
        <w:rPr>
          <w:rFonts w:eastAsia="Arial"/>
          <w:i/>
          <w:color w:val="000000"/>
          <w:sz w:val="24"/>
          <w:szCs w:val="24"/>
        </w:rPr>
        <w:t xml:space="preserve"> </w:t>
      </w:r>
      <w:r>
        <w:rPr>
          <w:rFonts w:eastAsia="Arial"/>
          <w:b/>
          <w:color w:val="000000"/>
          <w:sz w:val="24"/>
          <w:szCs w:val="24"/>
        </w:rPr>
        <w:t xml:space="preserve">30 (trinta) dias</w:t>
      </w:r>
      <w:r>
        <w:rPr>
          <w:rFonts w:eastAsia="Arial"/>
          <w:color w:val="000000"/>
          <w:sz w:val="24"/>
          <w:szCs w:val="24"/>
        </w:rPr>
        <w:t xml:space="preserve">, a contar da data do protocolo do requerimento para decidir, admitida a prorrogação motivada, por igual período. </w:t>
      </w:r>
      <w:r>
        <w:rPr>
          <w:rFonts w:eastAsia="Arial"/>
          <w:b/>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Responder eventuais pedidos de reestabelecimento do equilíbrio econômico-financeiro feitos pelo contratado no prazo máximo de </w:t>
      </w:r>
      <w:r>
        <w:rPr>
          <w:rFonts w:eastAsia="Arial"/>
          <w:b/>
          <w:color w:val="000000"/>
          <w:sz w:val="24"/>
          <w:szCs w:val="24"/>
        </w:rPr>
        <w:t xml:space="preserve">30 (trinta) dias</w:t>
      </w:r>
      <w:r>
        <w:rPr>
          <w:rFonts w:eastAsia="Arial"/>
          <w:color w:val="000000"/>
          <w:sz w:val="24"/>
          <w:szCs w:val="24"/>
        </w:rPr>
        <w:t xml:space="preserve">.</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Notificar os emitentes das garantias quanto ao início de processo administrativo para apuração de descumprimento de cláusulas contratuais.</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 Administração nã</w:t>
      </w:r>
      <w:r>
        <w:rPr>
          <w:rFonts w:eastAsia="Arial"/>
          <w:color w:val="000000"/>
          <w:sz w:val="24"/>
          <w:szCs w:val="24"/>
        </w:rPr>
        <w:t xml:space="preserve">o responderá por quaisquer compromissos assumidos pelo Contratado com terceiros, ainda que vinculados à execução do contrato, bem como por qualquer dano causado a terceiros em decorrência de ato do Contratado, de seus empregados, prepostos ou subordinados.</w:t>
      </w:r>
      <w:r>
        <w:rPr>
          <w:rFonts w:eastAsia="Arial"/>
          <w:color w:val="000000"/>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NONA - OBRIGAÇÕES DO CONTRATADO (</w:t>
      </w:r>
      <w:r>
        <w:fldChar w:fldCharType="begin"/>
      </w:r>
      <w:r>
        <w:rPr>
          <w:rFonts w:eastAsia="Arial"/>
          <w:b/>
          <w:color w:val="000000"/>
          <w:sz w:val="24"/>
          <w:szCs w:val="24"/>
          <w:u w:val="single"/>
        </w:rPr>
        <w:instrText xml:space="preserve"> HYPERLINK "http://www.planalto.gov.br/ccivil_03/_ato2019-2022/2021/lei/L14133.htm" \l "art92"</w:instrText>
      </w:r>
      <w:r>
        <w:rPr>
          <w:rFonts w:eastAsia="Arial"/>
          <w:b/>
          <w:color w:val="000000"/>
          <w:sz w:val="24"/>
          <w:szCs w:val="24"/>
          <w:u w:val="single"/>
        </w:rPr>
        <w:fldChar w:fldCharType="separate"/>
      </w:r>
      <w:r>
        <w:rPr>
          <w:rFonts w:eastAsia="Arial"/>
          <w:b/>
          <w:color w:val="000000"/>
          <w:sz w:val="24"/>
          <w:szCs w:val="24"/>
          <w:u w:val="single"/>
        </w:rPr>
        <w:t xml:space="preserve">art. 92, XIV, XVI e XVII)</w:t>
      </w:r>
      <w:r>
        <w:rPr>
          <w:rFonts w:eastAsia="Arial"/>
          <w:b/>
          <w:color w:val="000000"/>
          <w:sz w:val="24"/>
          <w:szCs w:val="24"/>
          <w:u w:val="single"/>
        </w:rPr>
        <w:fldChar w:fldCharType="end"/>
      </w: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Contratado deve cumprir todas as obrigações constantes deste Contrato e em seus anexos, assumindo como exclusivamente seus os riscos e as despesas decorrentes da boa e perfeita execução do objeto, observando, ainda, as obrigações a seguir dispostas:</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Entregar o objeto acompanhado do manual do usuário, com uma versão em português, e da relação da rede de assistência técnica autorizada;</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Responsabilizar-se pelos vícios e danos decorrentes do objeto, de acordo com o Código de Defesa do Consumidor (</w:t>
      </w:r>
      <w:hyperlink r:id="rId48" w:tooltip="https://www.planalto.gov.br/ccivil_03/leis/l8078compilado.htm" w:history="1">
        <w:r>
          <w:rPr>
            <w:rFonts w:eastAsia="Arial"/>
            <w:color w:val="000000"/>
            <w:sz w:val="24"/>
            <w:szCs w:val="24"/>
            <w:u w:val="single"/>
          </w:rPr>
          <w:t xml:space="preserve">Lei nº 8.078, de 1990</w:t>
        </w:r>
      </w:hyperlink>
      <w:r>
        <w:rPr>
          <w:rFonts w:eastAsia="Arial"/>
          <w:color w:val="000000"/>
          <w:sz w:val="24"/>
          <w:szCs w:val="24"/>
        </w:rPr>
        <w:t xml:space="preserve">);</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Comunicar ao contratante, no prazo máximo de 24 (vinte e quatro) horas que antecede a data da entrega, os motivos que impossibilitem o cumprimento do prazo previsto, com a devida comprovação;</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Atender às determinações regulares emitidas pelo fiscal ou gestor do contrato ou autoridade superior (</w:t>
      </w:r>
      <w:r>
        <w:fldChar w:fldCharType="begin"/>
      </w:r>
      <w:r>
        <w:rPr>
          <w:rFonts w:eastAsia="Arial"/>
          <w:color w:val="000000"/>
          <w:sz w:val="24"/>
          <w:szCs w:val="24"/>
          <w:u w:val="single"/>
        </w:rPr>
        <w:instrText xml:space="preserve"> HYPERLINK "http://www.planalto.gov.br/ccivil_03/_ato2019-2022/2021/lei/L14133.htm" \l "art137"</w:instrText>
      </w:r>
      <w:r>
        <w:rPr>
          <w:rFonts w:eastAsia="Arial"/>
          <w:color w:val="000000"/>
          <w:sz w:val="24"/>
          <w:szCs w:val="24"/>
          <w:u w:val="single"/>
        </w:rPr>
        <w:fldChar w:fldCharType="separate"/>
      </w:r>
      <w:r>
        <w:rPr>
          <w:rFonts w:eastAsia="Arial"/>
          <w:color w:val="000000"/>
          <w:sz w:val="24"/>
          <w:szCs w:val="24"/>
          <w:u w:val="single"/>
        </w:rPr>
        <w:t xml:space="preserve">art. 137, II, da Lei n.º 14.133, de 2021</w:t>
      </w:r>
      <w:r>
        <w:rPr>
          <w:rFonts w:eastAsia="Arial"/>
          <w:color w:val="000000"/>
          <w:sz w:val="24"/>
          <w:szCs w:val="24"/>
          <w:u w:val="single"/>
        </w:rPr>
        <w:fldChar w:fldCharType="end"/>
      </w:r>
      <w:r>
        <w:rPr>
          <w:rFonts w:eastAsia="Arial"/>
          <w:color w:val="000000"/>
          <w:sz w:val="24"/>
          <w:szCs w:val="24"/>
        </w:rPr>
        <w:t xml:space="preserve">) e prestar todo esclarecimento ou informação por eles solicitados;</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Reparar, corrigir, remover, reconstruir ou substituir, às suas expensas, no total ou em parte, no prazo fixado pelo fiscal do contrato, os bens nos quais se verificarem vícios, defeitos ou incorreções resultantes da execução ou dos materiais empregados;</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Responsabilizar-se pelos vícios e danos decorrentes da execução do objeto, bem como por todo e qualquer dano causado à Administração</w:t>
      </w:r>
      <w:r>
        <w:rPr>
          <w:rFonts w:eastAsia="Arial"/>
          <w:color w:val="000000"/>
          <w:sz w:val="24"/>
          <w:szCs w:val="24"/>
        </w:rPr>
        <w:t xml:space="preserve"> ou terceiros, não reduzindo essa responsabilidade a fiscalização ou o acompanhamento da execução contratual pelo contratante, que ficará autorizado a descontar dos pagamentos devidos ou da garantia, caso exigida, o valor correspondente aos danos sofridos;</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Quando não for possível a verificação da regularidade no Sistema de Cadastro de Fornecedores –</w:t>
      </w:r>
      <w:r>
        <w:rPr>
          <w:rFonts w:eastAsia="Arial"/>
          <w:color w:val="000000"/>
          <w:sz w:val="24"/>
          <w:szCs w:val="24"/>
        </w:rPr>
        <w:t xml:space="preserve"> SICAF, o contratado deverá entregar ao setor responsável pela fiscalização do contrato, junto com a Nota Fiscal para fins de pagamento, os seguintes documentos: 1) prova de regularidade relativa à Seguridade Social; 2) certidão conjunta relativa aos tribu</w:t>
      </w:r>
      <w:r>
        <w:rPr>
          <w:rFonts w:eastAsia="Arial"/>
          <w:color w:val="000000"/>
          <w:sz w:val="24"/>
          <w:szCs w:val="24"/>
        </w:rPr>
        <w:t xml:space="preserve">tos federais e à Dívida Ativa da União; 3) certidões que comprovem a regularidade perante a Fazenda Estadual ou Distrital do domicílio ou sede do contratado; 4) Certidão de Regularidade do FGTS – CRF; e 5) Certidão Negativa de Débitos Trabalhistas – CNDT; </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Responsabi</w:t>
      </w:r>
      <w:r>
        <w:rPr>
          <w:rFonts w:eastAsia="Arial"/>
          <w:color w:val="000000"/>
          <w:sz w:val="24"/>
          <w:szCs w:val="24"/>
        </w:rPr>
        <w:t xml:space="preserve">lizar-se pelo cumprimento de todas as obrigações trabalhistas, previdenciárias, fiscais, comerciais e as demais previstas em legislação específica, cuja inadimplência não transfere a responsabilidade ao contratante e não poderá onerar o objeto do contrato;</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Comunicar ao Fiscal do contrato, no prazo de 24 (vinte e quatro) horas, qualquer ocorrência anormal ou acidente que se verifique no local da execução do objeto contratual.</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Paralisar, por determinação do contratante, qualquer atividade que não esteja sendo executada de acordo com a boa técnica ou que ponha em risco a segurança de pessoas ou bens de terceiros.</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Manter durante toda a vigência do contrato, em compatibilidade com as obrigações assumidas, todas as condições exigidas para habilitação na licitação; </w:t>
      </w:r>
      <w:r>
        <w:rPr>
          <w:rFonts w:eastAsia="Arial"/>
          <w:color w:val="000000"/>
          <w:sz w:val="24"/>
          <w:szCs w:val="24"/>
        </w:rPr>
      </w:r>
    </w:p>
    <w:p>
      <w:pPr>
        <w:pStyle w:val="1056"/>
        <w:numPr>
          <w:ilvl w:val="1"/>
          <w:numId w:val="10"/>
        </w:numPr>
        <w:pBdr/>
        <w:spacing w:line="276" w:lineRule="auto"/>
        <w:ind w:firstLine="0" w:left="0"/>
        <w:rPr>
          <w:rFonts w:eastAsia="Arial"/>
          <w:b/>
          <w:color w:val="000000"/>
          <w:sz w:val="24"/>
          <w:szCs w:val="24"/>
        </w:rPr>
      </w:pPr>
      <w:r>
        <w:rPr>
          <w:rFonts w:eastAsia="Arial"/>
          <w:color w:val="000000"/>
          <w:sz w:val="24"/>
          <w:szCs w:val="24"/>
        </w:rPr>
        <w:t xml:space="preserve">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Fonts w:eastAsia="Arial"/>
          <w:color w:val="000000"/>
          <w:sz w:val="24"/>
          <w:szCs w:val="24"/>
          <w:u w:val="single"/>
        </w:rPr>
        <w:instrText xml:space="preserve"> HYPERLINK "http://www.planalto.gov.br/ccivil_03/_ato2019-2022/2021/lei/L14133.htm" \l "art116"</w:instrText>
      </w:r>
      <w:r>
        <w:rPr>
          <w:rFonts w:eastAsia="Arial"/>
          <w:color w:val="000000"/>
          <w:sz w:val="24"/>
          <w:szCs w:val="24"/>
          <w:u w:val="single"/>
        </w:rPr>
        <w:fldChar w:fldCharType="separate"/>
      </w:r>
      <w:r>
        <w:rPr>
          <w:rFonts w:eastAsia="Arial"/>
          <w:color w:val="000000"/>
          <w:sz w:val="24"/>
          <w:szCs w:val="24"/>
          <w:u w:val="single"/>
        </w:rPr>
        <w:t xml:space="preserve">art. 116,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b/>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Comprovar a reserva de cargos a que se refere a cláusula acima, no prazo fixado pelo fiscal do contrato, com a indicação dos empregados que preencheram as referidas vagas (</w:t>
      </w:r>
      <w:r>
        <w:fldChar w:fldCharType="begin"/>
      </w:r>
      <w:r>
        <w:rPr>
          <w:rFonts w:eastAsia="Arial"/>
          <w:color w:val="000000"/>
          <w:sz w:val="24"/>
          <w:szCs w:val="24"/>
          <w:u w:val="single"/>
        </w:rPr>
        <w:instrText xml:space="preserve"> HYPERLINK "http://www.planalto.gov.br/ccivil_03/_ato2019-2022/2021/lei/L14133.htm" \l "art116"</w:instrText>
      </w:r>
      <w:r>
        <w:rPr>
          <w:rFonts w:eastAsia="Arial"/>
          <w:color w:val="000000"/>
          <w:sz w:val="24"/>
          <w:szCs w:val="24"/>
          <w:u w:val="single"/>
        </w:rPr>
        <w:fldChar w:fldCharType="separate"/>
      </w:r>
      <w:r>
        <w:rPr>
          <w:rFonts w:eastAsia="Arial"/>
          <w:color w:val="000000"/>
          <w:sz w:val="24"/>
          <w:szCs w:val="24"/>
          <w:u w:val="single"/>
        </w:rPr>
        <w:t xml:space="preserve">art. 116, parágrafo único,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  </w:t>
      </w:r>
      <w:r>
        <w:rPr>
          <w:rFonts w:eastAsia="Arial"/>
          <w:color w:val="000000"/>
          <w:sz w:val="24"/>
          <w:szCs w:val="24"/>
        </w:rPr>
        <w:t xml:space="preserve">Guardar sigilo sobre todas as informações obtidas em decorrência do cumprimento do contrato; </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Arcar com o ônus decorrente de eventual equívoco no dimensionamento dos quantitativos de sua proposta, inclusive quant</w:t>
      </w:r>
      <w:r>
        <w:rPr>
          <w:rFonts w:eastAsia="Arial"/>
          <w:color w:val="000000"/>
          <w:sz w:val="24"/>
          <w:szCs w:val="24"/>
        </w:rPr>
        <w:t xml:space="preserve">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Fonts w:eastAsia="Arial"/>
          <w:color w:val="000000"/>
          <w:sz w:val="24"/>
          <w:szCs w:val="24"/>
          <w:u w:val="single"/>
        </w:rPr>
        <w:instrText xml:space="preserve"> HYPERLINK "http://www.planalto.gov.br/ccivil_03/_ato2019-2022/2021/lei/L14133.htm" \l "art124"</w:instrText>
      </w:r>
      <w:r>
        <w:rPr>
          <w:rFonts w:eastAsia="Arial"/>
          <w:color w:val="000000"/>
          <w:sz w:val="24"/>
          <w:szCs w:val="24"/>
          <w:u w:val="single"/>
        </w:rPr>
        <w:fldChar w:fldCharType="separate"/>
      </w:r>
      <w:r>
        <w:rPr>
          <w:rFonts w:eastAsia="Arial"/>
          <w:color w:val="000000"/>
          <w:sz w:val="24"/>
          <w:szCs w:val="24"/>
          <w:u w:val="single"/>
        </w:rPr>
        <w:t xml:space="preserve">art. 124, II, d, da Lei nº 14.133, de 2021.</w:t>
      </w:r>
      <w:r>
        <w:rPr>
          <w:rFonts w:eastAsia="Arial"/>
          <w:color w:val="000000"/>
          <w:sz w:val="24"/>
          <w:szCs w:val="24"/>
          <w:u w:val="single"/>
        </w:rPr>
        <w:fldChar w:fldCharType="end"/>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Cumprir, além dos postulados legais vigentes de âmbito federal, estadual ou municipal, as normas de segurança do contratante;</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Alocar os empregados necessários, com habilitação e conhecimento </w:t>
      </w:r>
      <w:r>
        <w:rPr>
          <w:rFonts w:eastAsia="Arial"/>
          <w:color w:val="000000"/>
          <w:sz w:val="24"/>
          <w:szCs w:val="24"/>
        </w:rPr>
        <w:t xml:space="preserve">adequados, ao perfeito cumprimento das cláusulas deste contrato, fornecendo os materiais, equipamentos, ferramentas e utensílios demandados, cuja quantidade, qualidade e tecnologia deverão atender às recomendações de boa técnica e a legislação de regência;</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Orientar e treinar seus empregados sobre os deveres previstos na Lei nº 13.709, de 14 de agosto de 2018, adotando medidas eficazes para proteção de dados pessoais a que tenha acesso por força da execução deste contrato;</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Conduzir os trabalhos com estrita observância às normas da legislação pertinente, cumprindo as determinações dos Poderes Públicos, mantendo sempre limpo o local de execução do objeto e nas melhores condições de segurança, higiene e disciplina.</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Submeter previamente, por escrito, ao contratante, para análise e aprovação, quaisquer mudanças nos métodos executivos que fujam às especificações do memorial descritivo ou instrumento congênere.</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Não permitir a utilização de qualquer trabalho do menor de dezesseis anos, exceto na condição de aprendiz para os maiores de quatorze anos, nem permitir a utilização do trabalho do menor de dezoito anos em trabalho noturno, perigoso ou insalubre.</w:t>
      </w:r>
      <w:r>
        <w:rPr>
          <w:rFonts w:eastAsia="Arial"/>
          <w:color w:val="000000"/>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DÉCIMA– GARANTIA DE EXECUÇÃO (</w:t>
      </w:r>
      <w:r>
        <w:fldChar w:fldCharType="begin"/>
      </w:r>
      <w:r>
        <w:rPr>
          <w:rFonts w:eastAsia="Arial"/>
          <w:b/>
          <w:color w:val="000000"/>
          <w:sz w:val="24"/>
          <w:szCs w:val="24"/>
          <w:u w:val="single"/>
        </w:rPr>
        <w:instrText xml:space="preserve"> HYPERLINK "http://www.planalto.gov.br/ccivil_03/_ato2019-2022/2021/lei/L14133.htm" \l "art92"</w:instrText>
      </w:r>
      <w:r>
        <w:rPr>
          <w:rFonts w:eastAsia="Arial"/>
          <w:b/>
          <w:color w:val="000000"/>
          <w:sz w:val="24"/>
          <w:szCs w:val="24"/>
          <w:u w:val="single"/>
        </w:rPr>
        <w:fldChar w:fldCharType="separate"/>
      </w:r>
      <w:r>
        <w:rPr>
          <w:rFonts w:eastAsia="Arial"/>
          <w:b/>
          <w:color w:val="000000"/>
          <w:sz w:val="24"/>
          <w:szCs w:val="24"/>
          <w:u w:val="single"/>
        </w:rPr>
        <w:t xml:space="preserve">art. 92, XII</w:t>
      </w:r>
      <w:r>
        <w:rPr>
          <w:rFonts w:eastAsia="Arial"/>
          <w:b/>
          <w:color w:val="000000"/>
          <w:sz w:val="24"/>
          <w:szCs w:val="24"/>
          <w:u w:val="single"/>
        </w:rPr>
        <w:fldChar w:fldCharType="end"/>
      </w:r>
      <w:r>
        <w:rPr>
          <w:rFonts w:eastAsia="Arial"/>
          <w:b/>
          <w:color w:val="000000"/>
          <w:sz w:val="24"/>
          <w:szCs w:val="24"/>
          <w:u w:val="single"/>
        </w:rPr>
        <w:t xml:space="preserve">)</w:t>
      </w: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  </w:t>
      </w:r>
      <w:r>
        <w:rPr>
          <w:rFonts w:eastAsia="Arial"/>
          <w:color w:val="000000"/>
          <w:sz w:val="24"/>
          <w:szCs w:val="24"/>
        </w:rPr>
        <w:t xml:space="preserve">Não haverá exigência de garantia contratual da execução.</w:t>
      </w:r>
      <w:r>
        <w:rPr>
          <w:rFonts w:eastAsia="Arial"/>
          <w:color w:val="000000"/>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DÉCIMA PRIMEIRA – INFRAÇÕES E SANÇÕES ADMINISTRATIVAS (</w:t>
      </w:r>
      <w:r>
        <w:fldChar w:fldCharType="begin"/>
      </w:r>
      <w:r>
        <w:rPr>
          <w:rFonts w:eastAsia="Arial"/>
          <w:b/>
          <w:color w:val="000000"/>
          <w:sz w:val="24"/>
          <w:szCs w:val="24"/>
          <w:u w:val="single"/>
        </w:rPr>
        <w:instrText xml:space="preserve"> HYPERLINK "http://www.planalto.gov.br/ccivil_03/_ato2019-2022/2021/lei/L14133.htm" \l "art92"</w:instrText>
      </w:r>
      <w:r>
        <w:rPr>
          <w:rFonts w:eastAsia="Arial"/>
          <w:b/>
          <w:color w:val="000000"/>
          <w:sz w:val="24"/>
          <w:szCs w:val="24"/>
          <w:u w:val="single"/>
        </w:rPr>
        <w:fldChar w:fldCharType="separate"/>
      </w:r>
      <w:r>
        <w:rPr>
          <w:rFonts w:eastAsia="Arial"/>
          <w:b/>
          <w:color w:val="000000"/>
          <w:sz w:val="24"/>
          <w:szCs w:val="24"/>
          <w:u w:val="single"/>
        </w:rPr>
        <w:t xml:space="preserve">art. 92, XIV</w:t>
      </w:r>
      <w:r>
        <w:rPr>
          <w:rFonts w:eastAsia="Arial"/>
          <w:b/>
          <w:color w:val="000000"/>
          <w:sz w:val="24"/>
          <w:szCs w:val="24"/>
          <w:u w:val="single"/>
        </w:rPr>
        <w:fldChar w:fldCharType="end"/>
      </w:r>
      <w:r>
        <w:rPr>
          <w:rFonts w:eastAsia="Arial"/>
          <w:b/>
          <w:color w:val="000000"/>
          <w:sz w:val="24"/>
          <w:szCs w:val="24"/>
          <w:u w:val="single"/>
        </w:rPr>
        <w:t xml:space="preserve">)</w:t>
      </w: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Comete infração administrativa, nos termos da </w:t>
      </w:r>
      <w:hyperlink r:id="rId49" w:tooltip="http://www.planalto.gov.br/ccivil_03/_ato2019-2022/2021/lei/L14133.htm" w:history="1">
        <w:r>
          <w:rPr>
            <w:rFonts w:eastAsia="Arial"/>
            <w:color w:val="000000"/>
            <w:sz w:val="24"/>
            <w:szCs w:val="24"/>
            <w:u w:val="single"/>
          </w:rPr>
          <w:t xml:space="preserve">Lei nº 14.133, de 2021</w:t>
        </w:r>
      </w:hyperlink>
      <w:r>
        <w:rPr>
          <w:rFonts w:eastAsia="Arial"/>
          <w:color w:val="000000"/>
          <w:sz w:val="24"/>
          <w:szCs w:val="24"/>
        </w:rPr>
        <w:t xml:space="preserve">, o contratado que:</w:t>
      </w:r>
      <w:r>
        <w:rPr>
          <w:rFonts w:eastAsia="Arial"/>
          <w:color w:val="000000"/>
          <w:sz w:val="24"/>
          <w:szCs w:val="24"/>
        </w:rPr>
      </w:r>
    </w:p>
    <w:p>
      <w:pPr>
        <w:pStyle w:val="1056"/>
        <w:numPr>
          <w:ilvl w:val="2"/>
          <w:numId w:val="7"/>
        </w:numPr>
        <w:pBdr/>
        <w:spacing w:line="276" w:lineRule="auto"/>
        <w:ind w:firstLine="0" w:left="284"/>
        <w:rPr>
          <w:sz w:val="24"/>
          <w:szCs w:val="24"/>
        </w:rPr>
      </w:pPr>
      <w:r>
        <w:rPr>
          <w:sz w:val="24"/>
          <w:szCs w:val="24"/>
        </w:rPr>
        <w:t xml:space="preserve">der causa à inexecução parcial do contrato;</w:t>
      </w:r>
      <w:r>
        <w:rPr>
          <w:sz w:val="24"/>
          <w:szCs w:val="24"/>
        </w:rPr>
      </w:r>
    </w:p>
    <w:p>
      <w:pPr>
        <w:pStyle w:val="1056"/>
        <w:numPr>
          <w:ilvl w:val="2"/>
          <w:numId w:val="7"/>
        </w:numPr>
        <w:pBdr/>
        <w:spacing w:line="276" w:lineRule="auto"/>
        <w:ind w:firstLine="0" w:left="284"/>
        <w:rPr>
          <w:sz w:val="24"/>
          <w:szCs w:val="24"/>
        </w:rPr>
      </w:pPr>
      <w:r>
        <w:rPr>
          <w:sz w:val="24"/>
          <w:szCs w:val="24"/>
        </w:rPr>
        <w:t xml:space="preserve">der causa à inexecução parcial do contrato que cause grave dano à Administração ou ao funcionamento dos serviços públicos ou ao interesse coletivo;</w:t>
      </w:r>
      <w:r>
        <w:rPr>
          <w:sz w:val="24"/>
          <w:szCs w:val="24"/>
        </w:rPr>
      </w:r>
    </w:p>
    <w:p>
      <w:pPr>
        <w:pStyle w:val="1056"/>
        <w:numPr>
          <w:ilvl w:val="2"/>
          <w:numId w:val="7"/>
        </w:numPr>
        <w:pBdr/>
        <w:spacing w:line="276" w:lineRule="auto"/>
        <w:ind w:firstLine="0" w:left="284"/>
        <w:rPr>
          <w:sz w:val="24"/>
          <w:szCs w:val="24"/>
        </w:rPr>
      </w:pPr>
      <w:r>
        <w:rPr>
          <w:sz w:val="24"/>
          <w:szCs w:val="24"/>
        </w:rPr>
        <w:t xml:space="preserve">der causa à inexecução total do contrato;</w:t>
      </w:r>
      <w:r>
        <w:rPr>
          <w:sz w:val="24"/>
          <w:szCs w:val="24"/>
        </w:rPr>
      </w:r>
    </w:p>
    <w:p>
      <w:pPr>
        <w:pStyle w:val="1056"/>
        <w:numPr>
          <w:ilvl w:val="2"/>
          <w:numId w:val="7"/>
        </w:numPr>
        <w:pBdr/>
        <w:spacing w:line="276" w:lineRule="auto"/>
        <w:ind w:firstLine="0" w:left="284"/>
        <w:rPr>
          <w:sz w:val="24"/>
          <w:szCs w:val="24"/>
        </w:rPr>
      </w:pPr>
      <w:r>
        <w:rPr>
          <w:sz w:val="24"/>
          <w:szCs w:val="24"/>
        </w:rPr>
        <w:t xml:space="preserve">ensejar o retardamento da execução ou da entrega do objeto da contratação sem motivo justificado;</w:t>
      </w:r>
      <w:r>
        <w:rPr>
          <w:sz w:val="24"/>
          <w:szCs w:val="24"/>
        </w:rPr>
      </w:r>
    </w:p>
    <w:p>
      <w:pPr>
        <w:pStyle w:val="1056"/>
        <w:numPr>
          <w:ilvl w:val="2"/>
          <w:numId w:val="7"/>
        </w:numPr>
        <w:pBdr/>
        <w:spacing w:line="276" w:lineRule="auto"/>
        <w:ind w:firstLine="0" w:left="284"/>
        <w:rPr>
          <w:sz w:val="24"/>
          <w:szCs w:val="24"/>
        </w:rPr>
      </w:pPr>
      <w:r>
        <w:rPr>
          <w:sz w:val="24"/>
          <w:szCs w:val="24"/>
        </w:rPr>
        <w:t xml:space="preserve">apresentar documentação falsa ou prestar declaração falsa durante a execução do contrato;</w:t>
      </w:r>
      <w:r>
        <w:rPr>
          <w:sz w:val="24"/>
          <w:szCs w:val="24"/>
        </w:rPr>
      </w:r>
    </w:p>
    <w:p>
      <w:pPr>
        <w:pStyle w:val="1056"/>
        <w:numPr>
          <w:ilvl w:val="2"/>
          <w:numId w:val="7"/>
        </w:numPr>
        <w:pBdr/>
        <w:spacing w:line="276" w:lineRule="auto"/>
        <w:ind w:firstLine="0" w:left="284"/>
        <w:rPr>
          <w:sz w:val="24"/>
          <w:szCs w:val="24"/>
        </w:rPr>
      </w:pPr>
      <w:r>
        <w:rPr>
          <w:sz w:val="24"/>
          <w:szCs w:val="24"/>
        </w:rPr>
        <w:t xml:space="preserve">praticar ato fraudulento na execução do contrato;</w:t>
      </w:r>
      <w:r>
        <w:rPr>
          <w:sz w:val="24"/>
          <w:szCs w:val="24"/>
        </w:rPr>
      </w:r>
    </w:p>
    <w:p>
      <w:pPr>
        <w:pStyle w:val="1056"/>
        <w:numPr>
          <w:ilvl w:val="2"/>
          <w:numId w:val="7"/>
        </w:numPr>
        <w:pBdr/>
        <w:spacing w:line="276" w:lineRule="auto"/>
        <w:ind w:firstLine="0" w:left="284"/>
        <w:rPr>
          <w:sz w:val="24"/>
          <w:szCs w:val="24"/>
        </w:rPr>
      </w:pPr>
      <w:r>
        <w:rPr>
          <w:sz w:val="24"/>
          <w:szCs w:val="24"/>
        </w:rPr>
        <w:t xml:space="preserve">comportar-se de modo inidôneo ou cometer fraude de qualquer natureza;</w:t>
      </w:r>
      <w:r>
        <w:rPr>
          <w:sz w:val="24"/>
          <w:szCs w:val="24"/>
        </w:rPr>
      </w:r>
    </w:p>
    <w:p>
      <w:pPr>
        <w:pStyle w:val="1056"/>
        <w:numPr>
          <w:ilvl w:val="2"/>
          <w:numId w:val="7"/>
        </w:numPr>
        <w:pBdr/>
        <w:spacing w:line="276" w:lineRule="auto"/>
        <w:ind w:firstLine="0" w:left="284"/>
        <w:rPr>
          <w:sz w:val="24"/>
          <w:szCs w:val="24"/>
        </w:rPr>
      </w:pPr>
      <w:r>
        <w:rPr>
          <w:sz w:val="24"/>
          <w:szCs w:val="24"/>
        </w:rPr>
        <w:t xml:space="preserve">praticar ato lesivo previsto no </w:t>
      </w:r>
      <w:r>
        <w:fldChar w:fldCharType="begin"/>
      </w:r>
      <w:r>
        <w:rPr>
          <w:color w:val="000000"/>
          <w:sz w:val="24"/>
          <w:szCs w:val="24"/>
          <w:u w:val="single"/>
        </w:rPr>
        <w:instrText xml:space="preserve"> HYPERLINK "https://www.planalto.gov.br/ccivil_03/_ato2011-2014/2013/lei/l12846.htm" \l "art5"</w:instrText>
      </w:r>
      <w:r>
        <w:rPr>
          <w:color w:val="000000"/>
          <w:sz w:val="24"/>
          <w:szCs w:val="24"/>
          <w:u w:val="single"/>
        </w:rPr>
        <w:fldChar w:fldCharType="separate"/>
      </w:r>
      <w:r>
        <w:rPr>
          <w:color w:val="000000"/>
          <w:sz w:val="24"/>
          <w:szCs w:val="24"/>
          <w:u w:val="single"/>
        </w:rPr>
        <w:t xml:space="preserve">art. 5º da Lei nº 12.846, de 1º de agosto de 2013</w:t>
      </w:r>
      <w:r>
        <w:rPr>
          <w:color w:val="000000"/>
          <w:sz w:val="24"/>
          <w:szCs w:val="24"/>
          <w:u w:val="single"/>
        </w:rPr>
        <w:fldChar w:fldCharType="end"/>
      </w:r>
      <w:r>
        <w:rPr>
          <w:sz w:val="24"/>
          <w:szCs w:val="24"/>
        </w:rPr>
        <w:t xml:space="preserve">.</w:t>
      </w:r>
      <w:r>
        <w:rPr>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Serão aplicadas ao contratado que incorrer nas infrações acima descritas as seguintes sanções:</w:t>
      </w:r>
      <w:r>
        <w:rPr>
          <w:rFonts w:eastAsia="Arial"/>
          <w:color w:val="000000"/>
          <w:sz w:val="24"/>
          <w:szCs w:val="24"/>
        </w:rPr>
      </w:r>
    </w:p>
    <w:p>
      <w:pPr>
        <w:pStyle w:val="1056"/>
        <w:numPr>
          <w:ilvl w:val="0"/>
          <w:numId w:val="9"/>
        </w:numPr>
        <w:pBdr/>
        <w:spacing w:after="0" w:before="120" w:line="276" w:lineRule="auto"/>
        <w:ind w:firstLine="0" w:left="284"/>
        <w:rPr>
          <w:rFonts w:eastAsia="Arial"/>
          <w:color w:val="000000"/>
          <w:sz w:val="24"/>
          <w:szCs w:val="24"/>
        </w:rPr>
      </w:pPr>
      <w:r>
        <w:rPr>
          <w:rFonts w:eastAsia="Arial"/>
          <w:b/>
          <w:color w:val="000000"/>
          <w:sz w:val="24"/>
          <w:szCs w:val="24"/>
        </w:rPr>
        <w:t xml:space="preserve">Advertência</w:t>
      </w:r>
      <w:r>
        <w:rPr>
          <w:rFonts w:eastAsia="Arial"/>
          <w:color w:val="000000"/>
          <w:sz w:val="24"/>
          <w:szCs w:val="24"/>
        </w:rPr>
        <w:t xml:space="preserve">, quando o contratado der causa à inexecução parcial do contrato, sempre que não se justificar a imposição de penalidade mais grave (</w:t>
      </w:r>
      <w:r>
        <w:fldChar w:fldCharType="begin"/>
      </w:r>
      <w:r>
        <w:rPr>
          <w:rFonts w:eastAsia="Arial"/>
          <w:color w:val="000000"/>
          <w:sz w:val="24"/>
          <w:szCs w:val="24"/>
          <w:u w:val="single"/>
        </w:rPr>
        <w:instrText xml:space="preserve"> HYPERLINK "http://www.planalto.gov.br/ccivil_03/_ato2019-2022/2021/lei/L14133.htm" \l "art156%C2%A72"</w:instrText>
      </w:r>
      <w:r>
        <w:rPr>
          <w:rFonts w:eastAsia="Arial"/>
          <w:color w:val="000000"/>
          <w:sz w:val="24"/>
          <w:szCs w:val="24"/>
          <w:u w:val="single"/>
        </w:rPr>
        <w:fldChar w:fldCharType="separate"/>
      </w:r>
      <w:r>
        <w:rPr>
          <w:rFonts w:eastAsia="Arial"/>
          <w:color w:val="000000"/>
          <w:sz w:val="24"/>
          <w:szCs w:val="24"/>
          <w:u w:val="single"/>
        </w:rPr>
        <w:t xml:space="preserve">art. 156, §2º, da </w:t>
      </w:r>
      <w:r>
        <w:rPr>
          <w:rFonts w:eastAsia="Arial"/>
          <w:color w:val="000000"/>
          <w:sz w:val="24"/>
          <w:szCs w:val="24"/>
          <w:u w:val="single"/>
        </w:rPr>
        <w:fldChar w:fldCharType="end"/>
      </w:r>
      <w:r>
        <w:rPr>
          <w:rFonts w:eastAsia="Arial"/>
          <w:color w:val="000000"/>
          <w:sz w:val="24"/>
          <w:szCs w:val="24"/>
          <w:u w:val="single"/>
        </w:rPr>
        <w:t xml:space="preserve">Lei nº 14.133, de 2021</w:t>
      </w:r>
      <w:r>
        <w:rPr>
          <w:rFonts w:eastAsia="Arial"/>
          <w:color w:val="000000"/>
          <w:sz w:val="24"/>
          <w:szCs w:val="24"/>
        </w:rPr>
        <w:t xml:space="preserve">);</w:t>
      </w:r>
      <w:r>
        <w:rPr>
          <w:rFonts w:eastAsia="Arial"/>
          <w:color w:val="000000"/>
          <w:sz w:val="24"/>
          <w:szCs w:val="24"/>
        </w:rPr>
      </w:r>
    </w:p>
    <w:p>
      <w:pPr>
        <w:pStyle w:val="1056"/>
        <w:numPr>
          <w:ilvl w:val="0"/>
          <w:numId w:val="9"/>
        </w:numPr>
        <w:pBdr/>
        <w:spacing w:after="0" w:before="0" w:line="276" w:lineRule="auto"/>
        <w:ind w:firstLine="0" w:left="284"/>
        <w:rPr>
          <w:rFonts w:eastAsia="Arial"/>
          <w:color w:val="000000"/>
          <w:sz w:val="24"/>
          <w:szCs w:val="24"/>
        </w:rPr>
      </w:pPr>
      <w:r>
        <w:rPr>
          <w:rFonts w:eastAsia="Arial"/>
          <w:b/>
          <w:color w:val="000000"/>
          <w:sz w:val="24"/>
          <w:szCs w:val="24"/>
        </w:rPr>
        <w:t xml:space="preserve">Impedimento de licitar e contratar</w:t>
      </w:r>
      <w:r>
        <w:rPr>
          <w:rFonts w:eastAsia="Arial"/>
          <w:color w:val="000000"/>
          <w:sz w:val="24"/>
          <w:szCs w:val="24"/>
        </w:rPr>
        <w:t xml:space="preserve">, quando praticadas as condutas descritas nas alíneas “b”, “c” e “d” do subitem acima deste Contrato, sempre que não se justificar a imposição de penalidade mais grave (</w:t>
      </w:r>
      <w:r>
        <w:fldChar w:fldCharType="begin"/>
      </w:r>
      <w:r>
        <w:rPr>
          <w:rFonts w:eastAsia="Arial"/>
          <w:color w:val="000000"/>
          <w:sz w:val="24"/>
          <w:szCs w:val="24"/>
          <w:u w:val="single"/>
        </w:rPr>
        <w:instrText xml:space="preserve"> HYPERLINK "http://www.planalto.gov.br/ccivil_03/_ato2019-2022/2021/lei/L14133.htm" \l "art156%C2%A74"</w:instrText>
      </w:r>
      <w:r>
        <w:rPr>
          <w:rFonts w:eastAsia="Arial"/>
          <w:color w:val="000000"/>
          <w:sz w:val="24"/>
          <w:szCs w:val="24"/>
          <w:u w:val="single"/>
        </w:rPr>
        <w:fldChar w:fldCharType="separate"/>
      </w:r>
      <w:r>
        <w:rPr>
          <w:rFonts w:eastAsia="Arial"/>
          <w:color w:val="000000"/>
          <w:sz w:val="24"/>
          <w:szCs w:val="24"/>
          <w:u w:val="single"/>
        </w:rPr>
        <w:t xml:space="preserve">art. 156, § 4º,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0"/>
          <w:numId w:val="9"/>
        </w:numPr>
        <w:pBdr/>
        <w:spacing w:after="0" w:before="0" w:line="276" w:lineRule="auto"/>
        <w:ind w:firstLine="0" w:left="284"/>
        <w:rPr>
          <w:rFonts w:eastAsia="Arial"/>
          <w:color w:val="000000"/>
          <w:sz w:val="24"/>
          <w:szCs w:val="24"/>
        </w:rPr>
      </w:pPr>
      <w:r>
        <w:rPr>
          <w:rFonts w:eastAsia="Arial"/>
          <w:b/>
          <w:color w:val="000000"/>
          <w:sz w:val="24"/>
          <w:szCs w:val="24"/>
        </w:rPr>
        <w:t xml:space="preserve">Declaração de inidoneidade para licitar e contratar</w:t>
      </w:r>
      <w:r>
        <w:rPr>
          <w:rFonts w:eastAsia="Arial"/>
          <w:color w:val="000000"/>
          <w:sz w:val="24"/>
          <w:szCs w:val="24"/>
        </w:rPr>
        <w:t xml:space="preserve">, quando praticadas as condutas descritas nas alíneas “e”, “f”, “g” e “h” do subitem acima deste Contrato, bem como nas alíneas “b”, “c” e “d”, que justifiquem a imposição de penalidade mais grave (</w:t>
      </w:r>
      <w:r>
        <w:fldChar w:fldCharType="begin"/>
      </w:r>
      <w:r>
        <w:rPr>
          <w:rFonts w:eastAsia="Arial"/>
          <w:color w:val="000000"/>
          <w:sz w:val="24"/>
          <w:szCs w:val="24"/>
          <w:u w:val="single"/>
        </w:rPr>
        <w:instrText xml:space="preserve"> HYPERLINK "http://www.planalto.gov.br/ccivil_03/_ato2019-2022/2021/lei/L14133.htm" \l "art156%C2%A75"</w:instrText>
      </w:r>
      <w:r>
        <w:rPr>
          <w:rFonts w:eastAsia="Arial"/>
          <w:color w:val="000000"/>
          <w:sz w:val="24"/>
          <w:szCs w:val="24"/>
          <w:u w:val="single"/>
        </w:rPr>
        <w:fldChar w:fldCharType="separate"/>
      </w:r>
      <w:r>
        <w:rPr>
          <w:rFonts w:eastAsia="Arial"/>
          <w:color w:val="000000"/>
          <w:sz w:val="24"/>
          <w:szCs w:val="24"/>
          <w:u w:val="single"/>
        </w:rPr>
        <w:t xml:space="preserve">art. 156, §5º,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0"/>
          <w:numId w:val="9"/>
        </w:numPr>
        <w:pBdr/>
        <w:spacing w:after="0" w:before="0" w:line="276" w:lineRule="auto"/>
        <w:ind w:firstLine="0" w:left="284"/>
        <w:rPr>
          <w:rFonts w:eastAsia="Arial"/>
          <w:color w:val="000000"/>
          <w:sz w:val="24"/>
          <w:szCs w:val="24"/>
        </w:rPr>
      </w:pPr>
      <w:r>
        <w:rPr>
          <w:rFonts w:eastAsia="Arial"/>
          <w:b/>
          <w:color w:val="000000"/>
          <w:sz w:val="24"/>
          <w:szCs w:val="24"/>
        </w:rPr>
        <w:t xml:space="preserve">Multa:</w:t>
      </w:r>
      <w:r>
        <w:rPr>
          <w:rFonts w:eastAsia="Arial"/>
          <w:color w:val="000000"/>
          <w:sz w:val="24"/>
          <w:szCs w:val="24"/>
        </w:rPr>
      </w:r>
    </w:p>
    <w:p>
      <w:pPr>
        <w:pStyle w:val="1056"/>
        <w:numPr>
          <w:ilvl w:val="1"/>
          <w:numId w:val="9"/>
        </w:numPr>
        <w:pBdr/>
        <w:spacing w:after="0" w:before="0" w:line="276" w:lineRule="auto"/>
        <w:ind w:firstLine="0" w:left="567"/>
        <w:rPr>
          <w:rFonts w:eastAsia="Arial"/>
          <w:color w:val="000000"/>
          <w:sz w:val="24"/>
          <w:szCs w:val="24"/>
        </w:rPr>
      </w:pPr>
      <w:r>
        <w:rPr>
          <w:rFonts w:eastAsia="Arial"/>
          <w:color w:val="000000"/>
          <w:sz w:val="24"/>
          <w:szCs w:val="24"/>
        </w:rPr>
        <w:t xml:space="preserve">Moratória de </w:t>
      </w:r>
      <w:r>
        <w:rPr>
          <w:rFonts w:eastAsia="Arial"/>
          <w:b/>
          <w:color w:val="000000"/>
          <w:sz w:val="24"/>
          <w:szCs w:val="24"/>
        </w:rPr>
        <w:t xml:space="preserve">0,5% (meio por cento)</w:t>
      </w:r>
      <w:r>
        <w:rPr>
          <w:rFonts w:eastAsia="Arial"/>
          <w:color w:val="000000"/>
          <w:sz w:val="24"/>
          <w:szCs w:val="24"/>
        </w:rPr>
        <w:t xml:space="preserve"> por dia de atraso injustificado sobre o valor da parcela inadimplida, até o limite de </w:t>
      </w:r>
      <w:r>
        <w:rPr>
          <w:rFonts w:eastAsia="Arial"/>
          <w:b/>
          <w:color w:val="000000"/>
          <w:sz w:val="24"/>
          <w:szCs w:val="24"/>
        </w:rPr>
        <w:t xml:space="preserve">60 (sessenta) dias</w:t>
      </w:r>
      <w:r>
        <w:rPr>
          <w:rFonts w:eastAsia="Arial"/>
          <w:color w:val="000000"/>
          <w:sz w:val="24"/>
          <w:szCs w:val="24"/>
        </w:rPr>
        <w:t xml:space="preserve">;</w:t>
      </w:r>
      <w:r>
        <w:rPr>
          <w:rFonts w:eastAsia="Arial"/>
          <w:color w:val="000000"/>
          <w:sz w:val="24"/>
          <w:szCs w:val="24"/>
        </w:rPr>
      </w:r>
    </w:p>
    <w:p>
      <w:pPr>
        <w:pStyle w:val="1056"/>
        <w:numPr>
          <w:ilvl w:val="2"/>
          <w:numId w:val="9"/>
        </w:numPr>
        <w:pBdr/>
        <w:spacing w:after="0" w:before="0" w:line="276" w:lineRule="auto"/>
        <w:ind w:firstLine="0" w:left="851"/>
        <w:rPr>
          <w:rFonts w:eastAsia="Arial"/>
          <w:color w:val="000000"/>
          <w:sz w:val="24"/>
          <w:szCs w:val="24"/>
        </w:rPr>
      </w:pPr>
      <w:r>
        <w:rPr>
          <w:rFonts w:eastAsia="Arial"/>
          <w:color w:val="000000"/>
          <w:sz w:val="24"/>
          <w:szCs w:val="24"/>
        </w:rPr>
        <w:t xml:space="preserve">O atraso superior a </w:t>
      </w:r>
      <w:r>
        <w:rPr>
          <w:rFonts w:eastAsia="Arial"/>
          <w:b/>
          <w:color w:val="000000"/>
          <w:sz w:val="24"/>
          <w:szCs w:val="24"/>
        </w:rPr>
        <w:t xml:space="preserve">60 (sessenta) dias</w:t>
      </w:r>
      <w:r>
        <w:rPr>
          <w:rFonts w:eastAsia="Arial"/>
          <w:color w:val="000000"/>
          <w:sz w:val="24"/>
          <w:szCs w:val="24"/>
        </w:rPr>
        <w:t xml:space="preserve"> autoriza a Administração a promover a extinção do contrato por descumprimento ou cumprimento irregular de suas cláusulas, conforme dispõe o inciso I do art. 137 da Lei n. 14.133, de 2021. </w:t>
      </w:r>
      <w:r>
        <w:rPr>
          <w:rFonts w:eastAsia="Arial"/>
          <w:color w:val="000000"/>
          <w:sz w:val="24"/>
          <w:szCs w:val="24"/>
        </w:rPr>
      </w:r>
    </w:p>
    <w:p>
      <w:pPr>
        <w:pStyle w:val="1056"/>
        <w:numPr>
          <w:ilvl w:val="1"/>
          <w:numId w:val="9"/>
        </w:numPr>
        <w:pBdr/>
        <w:spacing w:after="0" w:before="0" w:line="276" w:lineRule="auto"/>
        <w:ind w:firstLine="0" w:left="567"/>
        <w:rPr>
          <w:rFonts w:eastAsia="Arial"/>
          <w:color w:val="000000"/>
          <w:sz w:val="24"/>
          <w:szCs w:val="24"/>
        </w:rPr>
      </w:pPr>
      <w:r>
        <w:rPr>
          <w:rFonts w:eastAsia="Arial"/>
          <w:color w:val="000000"/>
          <w:sz w:val="24"/>
          <w:szCs w:val="24"/>
        </w:rPr>
        <w:t xml:space="preserve">Compensatória, para as infrações descritas nas alíneas “e” a “h” do subitem 11.1, de </w:t>
      </w:r>
      <w:r>
        <w:rPr>
          <w:rFonts w:eastAsia="Arial"/>
          <w:b/>
          <w:color w:val="000000"/>
          <w:sz w:val="24"/>
          <w:szCs w:val="24"/>
        </w:rPr>
        <w:t xml:space="preserve">9% a 10%</w:t>
      </w:r>
      <w:r>
        <w:rPr>
          <w:rFonts w:eastAsia="Arial"/>
          <w:color w:val="000000"/>
          <w:sz w:val="24"/>
          <w:szCs w:val="24"/>
        </w:rPr>
        <w:t xml:space="preserve"> do valor do Contrato.</w:t>
      </w:r>
      <w:r>
        <w:rPr>
          <w:rFonts w:eastAsia="Arial"/>
          <w:color w:val="000000"/>
          <w:sz w:val="24"/>
          <w:szCs w:val="24"/>
        </w:rPr>
      </w:r>
    </w:p>
    <w:p>
      <w:pPr>
        <w:pStyle w:val="1056"/>
        <w:numPr>
          <w:ilvl w:val="1"/>
          <w:numId w:val="9"/>
        </w:numPr>
        <w:pBdr/>
        <w:spacing w:after="0" w:before="0" w:line="276" w:lineRule="auto"/>
        <w:ind w:firstLine="0" w:left="567"/>
        <w:rPr>
          <w:rFonts w:eastAsia="Arial"/>
          <w:color w:val="000000"/>
          <w:sz w:val="24"/>
          <w:szCs w:val="24"/>
        </w:rPr>
      </w:pPr>
      <w:r>
        <w:rPr>
          <w:rFonts w:eastAsia="Arial"/>
          <w:color w:val="000000"/>
          <w:sz w:val="24"/>
          <w:szCs w:val="24"/>
        </w:rPr>
        <w:t xml:space="preserve">Compensatória, para a inexecução total do contrato prevista na alínea “c” do subitem 11.1, de </w:t>
      </w:r>
      <w:r>
        <w:rPr>
          <w:rFonts w:eastAsia="Arial"/>
          <w:b/>
          <w:color w:val="000000"/>
          <w:sz w:val="24"/>
          <w:szCs w:val="24"/>
        </w:rPr>
        <w:t xml:space="preserve">7% a 8% </w:t>
      </w:r>
      <w:r>
        <w:rPr>
          <w:rFonts w:eastAsia="Arial"/>
          <w:color w:val="000000"/>
          <w:sz w:val="24"/>
          <w:szCs w:val="24"/>
        </w:rPr>
        <w:t xml:space="preserve">do valor do Contrato. </w:t>
      </w:r>
      <w:r>
        <w:rPr>
          <w:rFonts w:eastAsia="Arial"/>
          <w:color w:val="000000"/>
          <w:sz w:val="24"/>
          <w:szCs w:val="24"/>
        </w:rPr>
      </w:r>
    </w:p>
    <w:p>
      <w:pPr>
        <w:pStyle w:val="1056"/>
        <w:numPr>
          <w:ilvl w:val="1"/>
          <w:numId w:val="9"/>
        </w:numPr>
        <w:pBdr/>
        <w:spacing w:after="0" w:before="0" w:line="276" w:lineRule="auto"/>
        <w:ind w:firstLine="0" w:left="567"/>
        <w:rPr>
          <w:rFonts w:eastAsia="Arial"/>
          <w:color w:val="000000"/>
          <w:sz w:val="24"/>
          <w:szCs w:val="24"/>
        </w:rPr>
      </w:pPr>
      <w:r>
        <w:rPr>
          <w:rFonts w:eastAsia="Arial"/>
          <w:color w:val="000000"/>
          <w:sz w:val="24"/>
          <w:szCs w:val="24"/>
        </w:rPr>
        <w:t xml:space="preserve">Para infração descrita na alínea “b” do subitem 11.1, a multa será de </w:t>
      </w:r>
      <w:r>
        <w:rPr>
          <w:rFonts w:eastAsia="Arial"/>
          <w:b/>
          <w:color w:val="000000"/>
          <w:sz w:val="24"/>
          <w:szCs w:val="24"/>
        </w:rPr>
        <w:t xml:space="preserve">5% a 6%</w:t>
      </w:r>
      <w:r>
        <w:rPr>
          <w:rFonts w:eastAsia="Arial"/>
          <w:color w:val="000000"/>
          <w:sz w:val="24"/>
          <w:szCs w:val="24"/>
        </w:rPr>
        <w:t xml:space="preserve"> do valor do Contrato.</w:t>
      </w:r>
      <w:r>
        <w:rPr>
          <w:rFonts w:eastAsia="Arial"/>
          <w:color w:val="000000"/>
          <w:sz w:val="24"/>
          <w:szCs w:val="24"/>
        </w:rPr>
      </w:r>
    </w:p>
    <w:p>
      <w:pPr>
        <w:pStyle w:val="1056"/>
        <w:numPr>
          <w:ilvl w:val="1"/>
          <w:numId w:val="9"/>
        </w:numPr>
        <w:pBdr/>
        <w:spacing w:after="0" w:before="0" w:line="276" w:lineRule="auto"/>
        <w:ind w:firstLine="0" w:left="567"/>
        <w:rPr>
          <w:rFonts w:eastAsia="Arial"/>
          <w:color w:val="000000"/>
          <w:sz w:val="24"/>
          <w:szCs w:val="24"/>
        </w:rPr>
      </w:pPr>
      <w:r>
        <w:rPr>
          <w:rFonts w:eastAsia="Arial"/>
          <w:color w:val="000000"/>
          <w:sz w:val="24"/>
          <w:szCs w:val="24"/>
        </w:rPr>
        <w:t xml:space="preserve">Para infrações descritas na alínea “d” do subitem 11.1, a multa será de </w:t>
      </w:r>
      <w:r>
        <w:rPr>
          <w:rFonts w:eastAsia="Arial"/>
          <w:b/>
          <w:color w:val="000000"/>
          <w:sz w:val="24"/>
          <w:szCs w:val="24"/>
        </w:rPr>
        <w:t xml:space="preserve">3% a 4%</w:t>
      </w:r>
      <w:r>
        <w:rPr>
          <w:rFonts w:eastAsia="Arial"/>
          <w:color w:val="000000"/>
          <w:sz w:val="24"/>
          <w:szCs w:val="24"/>
        </w:rPr>
        <w:t xml:space="preserve"> do valor do Contrato.</w:t>
      </w:r>
      <w:r>
        <w:rPr>
          <w:rFonts w:eastAsia="Arial"/>
          <w:color w:val="000000"/>
          <w:sz w:val="24"/>
          <w:szCs w:val="24"/>
        </w:rPr>
      </w:r>
    </w:p>
    <w:p>
      <w:pPr>
        <w:pStyle w:val="1056"/>
        <w:numPr>
          <w:ilvl w:val="1"/>
          <w:numId w:val="9"/>
        </w:numPr>
        <w:pBdr/>
        <w:spacing w:after="120" w:before="0" w:line="276" w:lineRule="auto"/>
        <w:ind w:firstLine="0" w:left="567"/>
        <w:rPr>
          <w:rFonts w:eastAsia="Arial"/>
          <w:color w:val="000000"/>
          <w:sz w:val="24"/>
          <w:szCs w:val="24"/>
        </w:rPr>
      </w:pPr>
      <w:r>
        <w:rPr>
          <w:rFonts w:eastAsia="Arial"/>
          <w:color w:val="000000"/>
          <w:sz w:val="24"/>
          <w:szCs w:val="24"/>
        </w:rPr>
        <w:t xml:space="preserve">Para a infração descrita na alínea “a” do subitem 11.1, a multa será de </w:t>
      </w:r>
      <w:r>
        <w:rPr>
          <w:rFonts w:eastAsia="Arial"/>
          <w:b/>
          <w:color w:val="000000"/>
          <w:sz w:val="24"/>
          <w:szCs w:val="24"/>
        </w:rPr>
        <w:t xml:space="preserve">1% a 2%</w:t>
      </w:r>
      <w:r>
        <w:rPr>
          <w:rFonts w:eastAsia="Arial"/>
          <w:color w:val="000000"/>
          <w:sz w:val="24"/>
          <w:szCs w:val="24"/>
        </w:rPr>
        <w:t xml:space="preserve"> do valor do Contrato, ressalvadas as seguintes infrações:</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 aplicação das sanções previstas neste Contrato não exclui, em hipótese alguma, a obrigação de reparação integral do dano causado ao Contratante (</w:t>
      </w:r>
      <w:r>
        <w:fldChar w:fldCharType="begin"/>
      </w:r>
      <w:r>
        <w:rPr>
          <w:rFonts w:eastAsia="Arial"/>
          <w:color w:val="000000"/>
          <w:sz w:val="24"/>
          <w:szCs w:val="24"/>
          <w:u w:val="single"/>
        </w:rPr>
        <w:instrText xml:space="preserve"> HYPERLINK "http://www.planalto.gov.br/ccivil_03/_ato2019-2022/2021/lei/L14133.htm" \l "art156%C2%A79"</w:instrText>
      </w:r>
      <w:r>
        <w:rPr>
          <w:rFonts w:eastAsia="Arial"/>
          <w:color w:val="000000"/>
          <w:sz w:val="24"/>
          <w:szCs w:val="24"/>
          <w:u w:val="single"/>
        </w:rPr>
        <w:fldChar w:fldCharType="separate"/>
      </w:r>
      <w:r>
        <w:rPr>
          <w:rFonts w:eastAsia="Arial"/>
          <w:color w:val="000000"/>
          <w:sz w:val="24"/>
          <w:szCs w:val="24"/>
          <w:u w:val="single"/>
        </w:rPr>
        <w:t xml:space="preserve">art. 156, §9º,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Todas as sanções previstas neste Contrato poderão ser aplicadas cumulativamente com a multa (</w:t>
      </w:r>
      <w:r>
        <w:fldChar w:fldCharType="begin"/>
      </w:r>
      <w:r>
        <w:rPr>
          <w:rFonts w:eastAsia="Arial"/>
          <w:color w:val="000000"/>
          <w:sz w:val="24"/>
          <w:szCs w:val="24"/>
          <w:u w:val="single"/>
        </w:rPr>
        <w:instrText xml:space="preserve"> HYPERLINK "http://www.planalto.gov.br/ccivil_03/_ato2019-2022/2021/lei/L14133.htm" \l "art156%C2%A77"</w:instrText>
      </w:r>
      <w:r>
        <w:rPr>
          <w:rFonts w:eastAsia="Arial"/>
          <w:color w:val="000000"/>
          <w:sz w:val="24"/>
          <w:szCs w:val="24"/>
          <w:u w:val="single"/>
        </w:rPr>
        <w:fldChar w:fldCharType="separate"/>
      </w:r>
      <w:r>
        <w:rPr>
          <w:rFonts w:eastAsia="Arial"/>
          <w:color w:val="000000"/>
          <w:sz w:val="24"/>
          <w:szCs w:val="24"/>
          <w:u w:val="single"/>
        </w:rPr>
        <w:t xml:space="preserve">art. 156, §7º,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Antes da aplicação da multa será facultada a defesa do interessado no prazo de </w:t>
      </w:r>
      <w:r>
        <w:rPr>
          <w:rFonts w:eastAsia="Arial"/>
          <w:b/>
          <w:color w:val="000000"/>
          <w:sz w:val="24"/>
          <w:szCs w:val="24"/>
        </w:rPr>
        <w:t xml:space="preserve">15 (quinze) dias úteis</w:t>
      </w:r>
      <w:r>
        <w:rPr>
          <w:rFonts w:eastAsia="Arial"/>
          <w:color w:val="000000"/>
          <w:sz w:val="24"/>
          <w:szCs w:val="24"/>
        </w:rPr>
        <w:t xml:space="preserve">, contado da data de sua intimação (</w:t>
      </w:r>
      <w:r>
        <w:fldChar w:fldCharType="begin"/>
      </w:r>
      <w:r>
        <w:rPr>
          <w:rFonts w:eastAsia="Arial"/>
          <w:color w:val="000000"/>
          <w:sz w:val="24"/>
          <w:szCs w:val="24"/>
          <w:u w:val="single"/>
        </w:rPr>
        <w:instrText xml:space="preserve"> HYPERLINK "http://www.planalto.gov.br/ccivil_03/_ato2019-2022/2021/lei/L14133.htm" \l "art157"</w:instrText>
      </w:r>
      <w:r>
        <w:rPr>
          <w:rFonts w:eastAsia="Arial"/>
          <w:color w:val="000000"/>
          <w:sz w:val="24"/>
          <w:szCs w:val="24"/>
          <w:u w:val="single"/>
        </w:rPr>
        <w:fldChar w:fldCharType="separate"/>
      </w:r>
      <w:r>
        <w:rPr>
          <w:rFonts w:eastAsia="Arial"/>
          <w:color w:val="000000"/>
          <w:sz w:val="24"/>
          <w:szCs w:val="24"/>
          <w:u w:val="single"/>
        </w:rPr>
        <w:t xml:space="preserve">art. 157,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Fonts w:eastAsia="Arial"/>
          <w:color w:val="000000"/>
          <w:sz w:val="24"/>
          <w:szCs w:val="24"/>
          <w:u w:val="single"/>
        </w:rPr>
        <w:instrText xml:space="preserve"> HYPERLINK "http://www.planalto.gov.br/ccivil_03/_ato2019-2022/2021/lei/L14133.htm" \l "art156%C2%A78"</w:instrText>
      </w:r>
      <w:r>
        <w:rPr>
          <w:rFonts w:eastAsia="Arial"/>
          <w:color w:val="000000"/>
          <w:sz w:val="24"/>
          <w:szCs w:val="24"/>
          <w:u w:val="single"/>
        </w:rPr>
        <w:fldChar w:fldCharType="separate"/>
      </w:r>
      <w:r>
        <w:rPr>
          <w:rFonts w:eastAsia="Arial"/>
          <w:color w:val="000000"/>
          <w:sz w:val="24"/>
          <w:szCs w:val="24"/>
          <w:u w:val="single"/>
        </w:rPr>
        <w:t xml:space="preserve">art. 156, §8º,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Previamente ao encaminhamento à cobrança judicial, a multa poderá ser recolhida administrativamente no prazo máximo de </w:t>
      </w:r>
      <w:r>
        <w:rPr>
          <w:rFonts w:eastAsia="Arial"/>
          <w:b/>
          <w:color w:val="000000"/>
          <w:sz w:val="24"/>
          <w:szCs w:val="24"/>
        </w:rPr>
        <w:t xml:space="preserve">30</w:t>
      </w:r>
      <w:r>
        <w:rPr>
          <w:rFonts w:eastAsia="Arial"/>
          <w:b/>
          <w:i/>
          <w:color w:val="000000"/>
          <w:sz w:val="24"/>
          <w:szCs w:val="24"/>
        </w:rPr>
        <w:t xml:space="preserve"> </w:t>
      </w:r>
      <w:r>
        <w:rPr>
          <w:rFonts w:eastAsia="Arial"/>
          <w:b/>
          <w:color w:val="000000"/>
          <w:sz w:val="24"/>
          <w:szCs w:val="24"/>
        </w:rPr>
        <w:t xml:space="preserve">(trinta)</w:t>
      </w:r>
      <w:r>
        <w:rPr>
          <w:rFonts w:eastAsia="Arial"/>
          <w:b/>
          <w:i/>
          <w:color w:val="000000"/>
          <w:sz w:val="24"/>
          <w:szCs w:val="24"/>
        </w:rPr>
        <w:t xml:space="preserve"> </w:t>
      </w:r>
      <w:r>
        <w:rPr>
          <w:rFonts w:eastAsia="Arial"/>
          <w:b/>
          <w:color w:val="000000"/>
          <w:sz w:val="24"/>
          <w:szCs w:val="24"/>
        </w:rPr>
        <w:t xml:space="preserve">dias</w:t>
      </w:r>
      <w:r>
        <w:rPr>
          <w:rFonts w:eastAsia="Arial"/>
          <w:color w:val="000000"/>
          <w:sz w:val="24"/>
          <w:szCs w:val="24"/>
        </w:rPr>
        <w:t xml:space="preserve">, a contar da data do recebimento da comunicação enviada pela autoridade competente.</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 aplicação das sanções realizar-se-á em processo administrativo que assegure o contraditório e a ampla defesa ao Contratado, observando-se o procedimento previsto no </w:t>
      </w:r>
      <w:r>
        <w:rPr>
          <w:rFonts w:eastAsia="Arial"/>
          <w:b/>
          <w:color w:val="000000"/>
          <w:sz w:val="24"/>
          <w:szCs w:val="24"/>
        </w:rPr>
        <w:t xml:space="preserve">caput </w:t>
      </w:r>
      <w:r>
        <w:rPr>
          <w:rFonts w:eastAsia="Arial"/>
          <w:color w:val="000000"/>
          <w:sz w:val="24"/>
          <w:szCs w:val="24"/>
        </w:rPr>
        <w:t xml:space="preserve">e parágrafos do </w:t>
      </w:r>
      <w:r>
        <w:fldChar w:fldCharType="begin"/>
      </w:r>
      <w:r>
        <w:rPr>
          <w:rFonts w:eastAsia="Arial"/>
          <w:color w:val="000000"/>
          <w:sz w:val="24"/>
          <w:szCs w:val="24"/>
          <w:u w:val="single"/>
        </w:rPr>
        <w:instrText xml:space="preserve"> HYPERLINK "http://www.planalto.gov.br/ccivil_03/_ato2019-2022/2021/lei/L14133.htm" \l "art158"</w:instrText>
      </w:r>
      <w:r>
        <w:rPr>
          <w:rFonts w:eastAsia="Arial"/>
          <w:color w:val="000000"/>
          <w:sz w:val="24"/>
          <w:szCs w:val="24"/>
          <w:u w:val="single"/>
        </w:rPr>
        <w:fldChar w:fldCharType="separate"/>
      </w:r>
      <w:r>
        <w:rPr>
          <w:rFonts w:eastAsia="Arial"/>
          <w:color w:val="000000"/>
          <w:sz w:val="24"/>
          <w:szCs w:val="24"/>
          <w:u w:val="single"/>
        </w:rPr>
        <w:t xml:space="preserve">art. 158 da Lei nº 14.133, de 2021</w:t>
      </w:r>
      <w:r>
        <w:rPr>
          <w:rFonts w:eastAsia="Arial"/>
          <w:color w:val="000000"/>
          <w:sz w:val="24"/>
          <w:szCs w:val="24"/>
          <w:u w:val="single"/>
        </w:rPr>
        <w:fldChar w:fldCharType="end"/>
      </w:r>
      <w:r>
        <w:rPr>
          <w:rFonts w:eastAsia="Arial"/>
          <w:color w:val="000000"/>
          <w:sz w:val="24"/>
          <w:szCs w:val="24"/>
        </w:rPr>
        <w:t xml:space="preserve">, para as penalidades de impedimento de licitar e contratar e de declaração de inidoneidade para licitar ou contratar.</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Na aplicação das sanções serão considerados (</w:t>
      </w:r>
      <w:r>
        <w:fldChar w:fldCharType="begin"/>
      </w:r>
      <w:r>
        <w:rPr>
          <w:rFonts w:eastAsia="Arial"/>
          <w:color w:val="000000"/>
          <w:sz w:val="24"/>
          <w:szCs w:val="24"/>
          <w:u w:val="single"/>
        </w:rPr>
        <w:instrText xml:space="preserve"> HYPERLINK "http://www.planalto.gov.br/ccivil_03/_ato2019-2022/2021/lei/L14133.htm" \l "art156%C2%A71"</w:instrText>
      </w:r>
      <w:r>
        <w:rPr>
          <w:rFonts w:eastAsia="Arial"/>
          <w:color w:val="000000"/>
          <w:sz w:val="24"/>
          <w:szCs w:val="24"/>
          <w:u w:val="single"/>
        </w:rPr>
        <w:fldChar w:fldCharType="separate"/>
      </w:r>
      <w:r>
        <w:rPr>
          <w:rFonts w:eastAsia="Arial"/>
          <w:color w:val="000000"/>
          <w:sz w:val="24"/>
          <w:szCs w:val="24"/>
          <w:u w:val="single"/>
        </w:rPr>
        <w:t xml:space="preserve">art. 156, §1º,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0"/>
          <w:numId w:val="3"/>
        </w:numPr>
        <w:pBdr/>
        <w:spacing w:after="0" w:before="120" w:line="276" w:lineRule="auto"/>
        <w:ind w:firstLine="0" w:left="284"/>
        <w:rPr>
          <w:sz w:val="24"/>
          <w:szCs w:val="24"/>
        </w:rPr>
      </w:pPr>
      <w:r>
        <w:rPr>
          <w:sz w:val="24"/>
          <w:szCs w:val="24"/>
        </w:rPr>
        <w:t xml:space="preserve">a natureza e a gravidade da infração cometida;</w:t>
      </w:r>
      <w:r>
        <w:rPr>
          <w:sz w:val="24"/>
          <w:szCs w:val="24"/>
        </w:rPr>
      </w:r>
    </w:p>
    <w:p>
      <w:pPr>
        <w:pStyle w:val="1056"/>
        <w:numPr>
          <w:ilvl w:val="0"/>
          <w:numId w:val="3"/>
        </w:numPr>
        <w:pBdr/>
        <w:spacing w:after="0" w:before="0" w:line="276" w:lineRule="auto"/>
        <w:ind w:firstLine="0" w:left="284"/>
        <w:rPr>
          <w:sz w:val="24"/>
          <w:szCs w:val="24"/>
        </w:rPr>
      </w:pPr>
      <w:r>
        <w:rPr>
          <w:sz w:val="24"/>
          <w:szCs w:val="24"/>
        </w:rPr>
        <w:t xml:space="preserve">as peculiaridades do caso concreto;</w:t>
      </w:r>
      <w:r>
        <w:rPr>
          <w:sz w:val="24"/>
          <w:szCs w:val="24"/>
        </w:rPr>
      </w:r>
    </w:p>
    <w:p>
      <w:pPr>
        <w:pStyle w:val="1056"/>
        <w:numPr>
          <w:ilvl w:val="0"/>
          <w:numId w:val="3"/>
        </w:numPr>
        <w:pBdr/>
        <w:spacing w:after="0" w:before="0" w:line="276" w:lineRule="auto"/>
        <w:ind w:firstLine="0" w:left="284"/>
        <w:rPr>
          <w:sz w:val="24"/>
          <w:szCs w:val="24"/>
        </w:rPr>
      </w:pPr>
      <w:r>
        <w:rPr>
          <w:sz w:val="24"/>
          <w:szCs w:val="24"/>
        </w:rPr>
        <w:t xml:space="preserve">as circunstâncias agravantes ou atenuantes;</w:t>
      </w:r>
      <w:r>
        <w:rPr>
          <w:sz w:val="24"/>
          <w:szCs w:val="24"/>
        </w:rPr>
      </w:r>
    </w:p>
    <w:p>
      <w:pPr>
        <w:pStyle w:val="1056"/>
        <w:numPr>
          <w:ilvl w:val="0"/>
          <w:numId w:val="3"/>
        </w:numPr>
        <w:pBdr/>
        <w:spacing w:after="0" w:before="0" w:line="276" w:lineRule="auto"/>
        <w:ind w:firstLine="0" w:left="284"/>
        <w:rPr>
          <w:sz w:val="24"/>
          <w:szCs w:val="24"/>
        </w:rPr>
      </w:pPr>
      <w:r>
        <w:rPr>
          <w:sz w:val="24"/>
          <w:szCs w:val="24"/>
        </w:rPr>
        <w:t xml:space="preserve">os danos que dela provierem para o Contratante;</w:t>
      </w:r>
      <w:r>
        <w:rPr>
          <w:sz w:val="24"/>
          <w:szCs w:val="24"/>
        </w:rPr>
      </w:r>
    </w:p>
    <w:p>
      <w:pPr>
        <w:pStyle w:val="1056"/>
        <w:numPr>
          <w:ilvl w:val="0"/>
          <w:numId w:val="3"/>
        </w:numPr>
        <w:pBdr/>
        <w:spacing w:after="120" w:before="0" w:line="276" w:lineRule="auto"/>
        <w:ind w:firstLine="0" w:left="284"/>
        <w:rPr>
          <w:sz w:val="24"/>
          <w:szCs w:val="24"/>
        </w:rPr>
      </w:pPr>
      <w:r>
        <w:rPr>
          <w:sz w:val="24"/>
          <w:szCs w:val="24"/>
        </w:rPr>
        <w:t xml:space="preserve">a implantação ou o aperfeiçoamento de programa de integridade, conforme normas e orientações dos órgãos de controle.</w:t>
      </w:r>
      <w:r>
        <w:rPr>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Os atos previstos como infrações administrativas na </w:t>
      </w:r>
      <w:hyperlink r:id="rId50" w:tooltip="http://www.planalto.gov.br/ccivil_03/_ato2019-2022/2021/lei/L14133.htm" w:history="1">
        <w:r>
          <w:rPr>
            <w:rFonts w:eastAsia="Arial"/>
            <w:color w:val="000000"/>
            <w:sz w:val="24"/>
            <w:szCs w:val="24"/>
            <w:u w:val="single"/>
          </w:rPr>
          <w:t xml:space="preserve">Lei nº 14.133, de 2021</w:t>
        </w:r>
      </w:hyperlink>
      <w:r>
        <w:rPr>
          <w:rFonts w:eastAsia="Arial"/>
          <w:color w:val="000000"/>
          <w:sz w:val="24"/>
          <w:szCs w:val="24"/>
        </w:rPr>
        <w:t xml:space="preserve">, ou em outras leis de licitações e contratos da Administração Pública que também sejam tipificados como atos lesivos na </w:t>
      </w:r>
      <w:hyperlink r:id="rId51" w:tooltip="https://www.planalto.gov.br/ccivil_03/_ato2011-2014/2013/lei/l12846.htm" w:history="1">
        <w:r>
          <w:rPr>
            <w:rFonts w:eastAsia="Arial"/>
            <w:color w:val="000000"/>
            <w:sz w:val="24"/>
            <w:szCs w:val="24"/>
            <w:u w:val="single"/>
          </w:rPr>
          <w:t xml:space="preserve">Lei nº 12.846, de 2013</w:t>
        </w:r>
      </w:hyperlink>
      <w:r>
        <w:rPr>
          <w:rFonts w:eastAsia="Arial"/>
          <w:color w:val="000000"/>
          <w:sz w:val="24"/>
          <w:szCs w:val="24"/>
        </w:rPr>
        <w:t xml:space="preserve">, serão apurados e julgados conjuntamente, nos mesmos autos, observados o rito procedimental e autoridade competente definidos na referida Lei (</w:t>
      </w:r>
      <w:hyperlink r:id="rId52" w:tooltip="http://www.planalto.gov.br/ccivil_03/_ato2019-2022/2021/lei/L14133.htm%25art159" w:history="1">
        <w:r>
          <w:rPr>
            <w:rFonts w:eastAsia="Arial"/>
            <w:color w:val="000000"/>
            <w:sz w:val="24"/>
            <w:szCs w:val="24"/>
            <w:u w:val="single"/>
          </w:rPr>
          <w:t xml:space="preserve">art. 159</w:t>
        </w:r>
      </w:hyperlink>
      <w:r>
        <w:rPr>
          <w:rFonts w:eastAsia="Arial"/>
          <w:color w:val="000000"/>
          <w:sz w:val="24"/>
          <w:szCs w:val="24"/>
        </w:rPr>
        <w:t xml:space="preserve">).</w:t>
      </w:r>
      <w:r>
        <w:rPr>
          <w:rFonts w:eastAsia="Arial"/>
          <w:color w:val="000000"/>
          <w:sz w:val="24"/>
          <w:szCs w:val="24"/>
        </w:rPr>
      </w:r>
    </w:p>
    <w:p>
      <w:pPr>
        <w:pStyle w:val="1056"/>
        <w:numPr>
          <w:ilvl w:val="1"/>
          <w:numId w:val="10"/>
        </w:numPr>
        <w:pBdr/>
        <w:spacing w:line="276" w:lineRule="auto"/>
        <w:ind w:firstLine="0" w:left="0"/>
        <w:rPr>
          <w:rFonts w:eastAsia="Arial"/>
          <w:i/>
          <w:color w:val="000000"/>
          <w:sz w:val="24"/>
          <w:szCs w:val="24"/>
        </w:rPr>
      </w:pPr>
      <w:r>
        <w:rPr>
          <w:rFonts w:eastAsia="Arial"/>
          <w:color w:val="000000"/>
          <w:sz w:val="24"/>
          <w:szCs w:val="24"/>
        </w:rPr>
        <w:t xml:space="preserve">A personalidade jurídica do Contratado poderá ser desconsiderada sempre que utilizada com abuso do direito para facilitar, e</w:t>
      </w:r>
      <w:r>
        <w:rPr>
          <w:rFonts w:eastAsia="Arial"/>
          <w:color w:val="000000"/>
          <w:sz w:val="24"/>
          <w:szCs w:val="24"/>
        </w:rPr>
        <w:t xml:space="preserve">ncobrir ou dissimular a prática dos atos ilícitos previstos neste Contrato ou para provocar confusão patrimonial, e, nesse caso, todos os efeitos das sanções aplicadas à pessoa jurídica serão estendidos aos seus administradores e sócios com poderes de admi</w:t>
      </w:r>
      <w:r>
        <w:rPr>
          <w:rFonts w:eastAsia="Arial"/>
          <w:color w:val="000000"/>
          <w:sz w:val="24"/>
          <w:szCs w:val="24"/>
        </w:rPr>
        <w:t xml:space="preserve">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Fonts w:eastAsia="Arial"/>
          <w:color w:val="000000"/>
          <w:sz w:val="24"/>
          <w:szCs w:val="24"/>
          <w:u w:val="single"/>
        </w:rPr>
        <w:instrText xml:space="preserve"> HYPERLINK "http://www.planalto.gov.br/ccivil_03/_ato2019-2022/2021/lei/L14133.htm" \l "art160"</w:instrText>
      </w:r>
      <w:r>
        <w:rPr>
          <w:rFonts w:eastAsia="Arial"/>
          <w:color w:val="000000"/>
          <w:sz w:val="24"/>
          <w:szCs w:val="24"/>
          <w:u w:val="single"/>
        </w:rPr>
        <w:fldChar w:fldCharType="separate"/>
      </w:r>
      <w:r>
        <w:rPr>
          <w:rFonts w:eastAsia="Arial"/>
          <w:color w:val="000000"/>
          <w:sz w:val="24"/>
          <w:szCs w:val="24"/>
          <w:u w:val="single"/>
        </w:rPr>
        <w:t xml:space="preserve">art. 160,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i/>
          <w:color w:val="000000"/>
          <w:sz w:val="24"/>
          <w:szCs w:val="24"/>
        </w:rPr>
      </w:r>
    </w:p>
    <w:p>
      <w:pPr>
        <w:pStyle w:val="1056"/>
        <w:numPr>
          <w:ilvl w:val="1"/>
          <w:numId w:val="10"/>
        </w:numPr>
        <w:pBdr/>
        <w:spacing w:line="276" w:lineRule="auto"/>
        <w:ind w:firstLine="0" w:left="0"/>
        <w:rPr>
          <w:rFonts w:eastAsia="Arial"/>
          <w:i/>
          <w:color w:val="000000"/>
          <w:sz w:val="24"/>
          <w:szCs w:val="24"/>
        </w:rPr>
      </w:pPr>
      <w:r>
        <w:rPr>
          <w:rFonts w:eastAsia="Arial"/>
          <w:color w:val="000000"/>
          <w:sz w:val="24"/>
          <w:szCs w:val="24"/>
        </w:rPr>
        <w:t xml:space="preserve"> </w:t>
      </w:r>
      <w:r>
        <w:rPr>
          <w:rFonts w:eastAsia="Arial"/>
          <w:color w:val="000000"/>
          <w:sz w:val="24"/>
          <w:szCs w:val="24"/>
        </w:rPr>
        <w:t xml:space="preserve">O Contratante deverá, no prazo máximo de </w:t>
      </w:r>
      <w:r>
        <w:rPr>
          <w:rFonts w:eastAsia="Arial"/>
          <w:b/>
          <w:color w:val="000000"/>
          <w:sz w:val="24"/>
          <w:szCs w:val="24"/>
        </w:rPr>
        <w:t xml:space="preserve">15 (quinze) dias úteis</w:t>
      </w:r>
      <w:r>
        <w:rPr>
          <w:rFonts w:eastAsia="Arial"/>
          <w:color w:val="000000"/>
          <w:sz w:val="24"/>
          <w:szCs w:val="24"/>
        </w:rPr>
        <w:t xml:space="preserve">, contado da data de aplicação da sanção, informar e m</w:t>
      </w:r>
      <w:r>
        <w:rPr>
          <w:rFonts w:eastAsia="Arial"/>
          <w:color w:val="000000"/>
          <w:sz w:val="24"/>
          <w:szCs w:val="24"/>
        </w:rPr>
        <w:t xml:space="preserve">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Fonts w:eastAsia="Arial"/>
          <w:color w:val="000000"/>
          <w:sz w:val="24"/>
          <w:szCs w:val="24"/>
          <w:u w:val="single"/>
        </w:rPr>
        <w:instrText xml:space="preserve"> HYPERLINK "http://www.planalto.gov.br/ccivil_03/_ato2019-2022/2021/lei/L14133.htm" \l "art161"</w:instrText>
      </w:r>
      <w:r>
        <w:rPr>
          <w:rFonts w:eastAsia="Arial"/>
          <w:color w:val="000000"/>
          <w:sz w:val="24"/>
          <w:szCs w:val="24"/>
          <w:u w:val="single"/>
        </w:rPr>
        <w:fldChar w:fldCharType="separate"/>
      </w:r>
      <w:r>
        <w:rPr>
          <w:rFonts w:eastAsia="Arial"/>
          <w:color w:val="000000"/>
          <w:sz w:val="24"/>
          <w:szCs w:val="24"/>
          <w:u w:val="single"/>
        </w:rPr>
        <w:t xml:space="preserve">Art. 161,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i/>
          <w:color w:val="000000"/>
          <w:sz w:val="24"/>
          <w:szCs w:val="24"/>
        </w:rPr>
      </w:r>
    </w:p>
    <w:p>
      <w:pPr>
        <w:pStyle w:val="1056"/>
        <w:numPr>
          <w:ilvl w:val="1"/>
          <w:numId w:val="10"/>
        </w:numPr>
        <w:pBdr/>
        <w:spacing w:line="276" w:lineRule="auto"/>
        <w:ind w:firstLine="0" w:left="0"/>
        <w:rPr>
          <w:rFonts w:eastAsia="Arial"/>
          <w:i/>
          <w:color w:val="000000"/>
          <w:sz w:val="24"/>
          <w:szCs w:val="24"/>
        </w:rPr>
      </w:pPr>
      <w:r>
        <w:rPr>
          <w:rFonts w:eastAsia="Arial"/>
          <w:color w:val="000000"/>
          <w:sz w:val="24"/>
          <w:szCs w:val="24"/>
        </w:rPr>
        <w:t xml:space="preserve">As sanções de impedimento de licitar e contratar e declaração de inidoneidade para licitar ou contratar são passíveis de reabilitação na forma do </w:t>
      </w:r>
      <w:r>
        <w:fldChar w:fldCharType="begin"/>
      </w:r>
      <w:r>
        <w:rPr>
          <w:rFonts w:eastAsia="Arial"/>
          <w:color w:val="000000"/>
          <w:sz w:val="24"/>
          <w:szCs w:val="24"/>
          <w:u w:val="single"/>
        </w:rPr>
        <w:instrText xml:space="preserve"> HYPERLINK "http://www.planalto.gov.br/ccivil_03/_ato2019-2022/2021/lei/L14133.htm" \l "163"</w:instrText>
      </w:r>
      <w:r>
        <w:rPr>
          <w:rFonts w:eastAsia="Arial"/>
          <w:color w:val="000000"/>
          <w:sz w:val="24"/>
          <w:szCs w:val="24"/>
          <w:u w:val="single"/>
        </w:rPr>
        <w:fldChar w:fldCharType="separate"/>
      </w:r>
      <w:r>
        <w:rPr>
          <w:rFonts w:eastAsia="Arial"/>
          <w:color w:val="000000"/>
          <w:sz w:val="24"/>
          <w:szCs w:val="24"/>
          <w:u w:val="single"/>
        </w:rPr>
        <w:t xml:space="preserve">art. 163 da Lei nº 14.133/21</w:t>
      </w:r>
      <w:r>
        <w:rPr>
          <w:rFonts w:eastAsia="Arial"/>
          <w:color w:val="000000"/>
          <w:sz w:val="24"/>
          <w:szCs w:val="24"/>
          <w:u w:val="single"/>
        </w:rPr>
        <w:fldChar w:fldCharType="end"/>
      </w:r>
      <w:r>
        <w:rPr>
          <w:rFonts w:eastAsia="Arial"/>
          <w:color w:val="000000"/>
          <w:sz w:val="24"/>
          <w:szCs w:val="24"/>
        </w:rPr>
        <w:t xml:space="preserve">.</w:t>
      </w:r>
      <w:r>
        <w:rPr>
          <w:rFonts w:eastAsia="Arial"/>
          <w:i/>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Os débitos do contratado para com a Administração contratante, resultantes de multa administrativa e/ou indenizações, não inscritos em dív</w:t>
      </w:r>
      <w:r>
        <w:rPr>
          <w:rFonts w:eastAsia="Arial"/>
          <w:color w:val="000000"/>
          <w:sz w:val="24"/>
          <w:szCs w:val="24"/>
        </w:rPr>
        <w:t xml:space="preserve">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3" w:tooltip="https://www.gov.br/compras/pt-br/acesso-a-informacao/legislacao/instrucoes-normativas/instrucao-normativa-seges-me-no-26-de-13-de-abril-de-2022" w:history="1">
        <w:r>
          <w:rPr>
            <w:rFonts w:eastAsia="Arial"/>
            <w:color w:val="000000"/>
            <w:sz w:val="24"/>
            <w:szCs w:val="24"/>
            <w:u w:val="single"/>
          </w:rPr>
          <w:t xml:space="preserve">Normativa SEGES/ME nº 26, de 13 de abril de 2022</w:t>
        </w:r>
      </w:hyperlink>
      <w:r>
        <w:rPr>
          <w:rFonts w:eastAsia="Arial"/>
          <w:color w:val="000000"/>
          <w:sz w:val="24"/>
          <w:szCs w:val="24"/>
        </w:rPr>
        <w:t xml:space="preserve">. </w:t>
      </w:r>
      <w:r>
        <w:rPr>
          <w:rFonts w:eastAsia="Arial"/>
          <w:color w:val="000000"/>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DÉCIMA SEGUNDA– DA EXTINÇÃO CONTRATUAL (</w:t>
      </w:r>
      <w:r>
        <w:fldChar w:fldCharType="begin"/>
      </w:r>
      <w:r>
        <w:rPr>
          <w:rFonts w:eastAsia="Arial"/>
          <w:b/>
          <w:color w:val="000000"/>
          <w:sz w:val="24"/>
          <w:szCs w:val="24"/>
          <w:u w:val="single"/>
        </w:rPr>
        <w:instrText xml:space="preserve"> HYPERLINK "http://www.planalto.gov.br/ccivil_03/_ato2019-2022/2021/lei/L14133.htm" \l "art92"</w:instrText>
      </w:r>
      <w:r>
        <w:rPr>
          <w:rFonts w:eastAsia="Arial"/>
          <w:b/>
          <w:color w:val="000000"/>
          <w:sz w:val="24"/>
          <w:szCs w:val="24"/>
          <w:u w:val="single"/>
        </w:rPr>
        <w:fldChar w:fldCharType="separate"/>
      </w:r>
      <w:r>
        <w:rPr>
          <w:rFonts w:eastAsia="Arial"/>
          <w:b/>
          <w:color w:val="000000"/>
          <w:sz w:val="24"/>
          <w:szCs w:val="24"/>
          <w:u w:val="single"/>
        </w:rPr>
        <w:t xml:space="preserve">art. 92, XIX</w:t>
      </w:r>
      <w:r>
        <w:rPr>
          <w:rFonts w:eastAsia="Arial"/>
          <w:b/>
          <w:color w:val="000000"/>
          <w:sz w:val="24"/>
          <w:szCs w:val="24"/>
          <w:u w:val="single"/>
        </w:rPr>
        <w:fldChar w:fldCharType="end"/>
      </w:r>
      <w:r>
        <w:rPr>
          <w:rFonts w:eastAsia="Arial"/>
          <w:b/>
          <w:color w:val="000000"/>
          <w:sz w:val="24"/>
          <w:szCs w:val="24"/>
          <w:u w:val="single"/>
        </w:rPr>
        <w:t xml:space="preserve">)</w:t>
      </w: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contrato será extinto quando cumpridas as obrigações de ambas as partes, ainda que isso ocorra antes do prazo estipulado para tanto.</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Se as obrigações não forem cumpridas no prazo estipulado, a vigência ficará prorrogada até a conclusão do objeto, caso em que deverá a Administração providenciar a readequação do cronograma fixado para o contrato.</w:t>
      </w:r>
      <w:r>
        <w:rPr>
          <w:rFonts w:eastAsia="Arial"/>
          <w:color w:val="000000"/>
          <w:sz w:val="24"/>
          <w:szCs w:val="24"/>
        </w:rPr>
      </w:r>
    </w:p>
    <w:p>
      <w:pPr>
        <w:pStyle w:val="1056"/>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Quando a não conclusão do contrato referida no item anterior decorrer de culpa do contratado:</w:t>
      </w:r>
      <w:r>
        <w:rPr>
          <w:rFonts w:eastAsia="Arial"/>
          <w:color w:val="000000"/>
          <w:sz w:val="24"/>
          <w:szCs w:val="24"/>
        </w:rPr>
      </w:r>
    </w:p>
    <w:p>
      <w:pPr>
        <w:pStyle w:val="1056"/>
        <w:numPr>
          <w:ilvl w:val="0"/>
          <w:numId w:val="4"/>
        </w:numPr>
        <w:pBdr/>
        <w:spacing w:after="0" w:before="120" w:line="312" w:lineRule="auto"/>
        <w:ind w:firstLine="0" w:left="567"/>
        <w:rPr>
          <w:rFonts w:eastAsia="Arial"/>
          <w:color w:val="000000"/>
          <w:sz w:val="24"/>
          <w:szCs w:val="24"/>
        </w:rPr>
      </w:pPr>
      <w:r>
        <w:rPr>
          <w:rFonts w:eastAsia="Arial"/>
          <w:color w:val="000000"/>
          <w:sz w:val="24"/>
          <w:szCs w:val="24"/>
        </w:rPr>
        <w:t xml:space="preserve">ficará ele constituído em mora, sendo-lhe aplicáveis as respectivas sanções administrativas; e  </w:t>
      </w:r>
      <w:r>
        <w:rPr>
          <w:rFonts w:eastAsia="Arial"/>
          <w:color w:val="000000"/>
          <w:sz w:val="24"/>
          <w:szCs w:val="24"/>
        </w:rPr>
      </w:r>
    </w:p>
    <w:p>
      <w:pPr>
        <w:pStyle w:val="1056"/>
        <w:numPr>
          <w:ilvl w:val="0"/>
          <w:numId w:val="4"/>
        </w:numPr>
        <w:pBdr/>
        <w:spacing w:after="120" w:before="0" w:line="312" w:lineRule="auto"/>
        <w:ind w:firstLine="0" w:left="567"/>
        <w:rPr>
          <w:rFonts w:eastAsia="Arial"/>
          <w:color w:val="000000"/>
          <w:sz w:val="24"/>
          <w:szCs w:val="24"/>
        </w:rPr>
      </w:pPr>
      <w:r>
        <w:rPr>
          <w:rFonts w:eastAsia="Arial"/>
          <w:color w:val="000000"/>
          <w:sz w:val="24"/>
          <w:szCs w:val="24"/>
        </w:rPr>
        <w:t xml:space="preserve">poderá a Administração optar pela extinção do contrato e, nesse caso, adotará as medidas admitidas em lei para a continuidade da execução contratual.</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contrato poderá ser extinto antes de cumpridas as obrigações nele estipuladas, ou antes do prazo nele fixado, por algum dos motivos previstos no </w:t>
      </w:r>
      <w:r>
        <w:fldChar w:fldCharType="begin"/>
      </w:r>
      <w:r>
        <w:rPr>
          <w:rFonts w:eastAsia="Arial"/>
          <w:color w:val="000000"/>
          <w:sz w:val="24"/>
          <w:szCs w:val="24"/>
          <w:u w:val="single"/>
        </w:rPr>
        <w:instrText xml:space="preserve"> HYPERLINK "http://www.planalto.gov.br/ccivil_03/_ato2019-2022/2021/lei/L14133.htm" \l "art137"</w:instrText>
      </w:r>
      <w:r>
        <w:rPr>
          <w:rFonts w:eastAsia="Arial"/>
          <w:color w:val="000000"/>
          <w:sz w:val="24"/>
          <w:szCs w:val="24"/>
          <w:u w:val="single"/>
        </w:rPr>
        <w:fldChar w:fldCharType="separate"/>
      </w:r>
      <w:r>
        <w:rPr>
          <w:rFonts w:eastAsia="Arial"/>
          <w:color w:val="000000"/>
          <w:sz w:val="24"/>
          <w:szCs w:val="24"/>
          <w:u w:val="single"/>
        </w:rPr>
        <w:t xml:space="preserve">artigo 137 da Lei nº 14.133/21</w:t>
      </w:r>
      <w:r>
        <w:rPr>
          <w:rFonts w:eastAsia="Arial"/>
          <w:color w:val="000000"/>
          <w:sz w:val="24"/>
          <w:szCs w:val="24"/>
          <w:u w:val="single"/>
        </w:rPr>
        <w:fldChar w:fldCharType="end"/>
      </w:r>
      <w:r>
        <w:rPr>
          <w:rFonts w:eastAsia="Arial"/>
          <w:color w:val="000000"/>
          <w:sz w:val="24"/>
          <w:szCs w:val="24"/>
        </w:rPr>
        <w:t xml:space="preserve">, bem como amigavelmente, assegurados o contraditório e a ampla defesa.</w:t>
      </w:r>
      <w:r>
        <w:rPr>
          <w:rFonts w:eastAsia="Arial"/>
          <w:color w:val="000000"/>
          <w:sz w:val="24"/>
          <w:szCs w:val="24"/>
        </w:rPr>
      </w:r>
    </w:p>
    <w:p>
      <w:pPr>
        <w:pStyle w:val="1056"/>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Nesta hipótese, aplicam-se também os </w:t>
      </w:r>
      <w:r>
        <w:fldChar w:fldCharType="begin"/>
      </w:r>
      <w:r>
        <w:rPr>
          <w:rFonts w:eastAsia="Arial"/>
          <w:color w:val="000000"/>
          <w:sz w:val="24"/>
          <w:szCs w:val="24"/>
          <w:u w:val="single"/>
        </w:rPr>
        <w:instrText xml:space="preserve"> HYPERLINK "http://www.planalto.gov.br/ccivil_03/_ato2019-2022/2021/lei/L14133.htm" \l "art138"</w:instrText>
      </w:r>
      <w:r>
        <w:rPr>
          <w:rFonts w:eastAsia="Arial"/>
          <w:color w:val="000000"/>
          <w:sz w:val="24"/>
          <w:szCs w:val="24"/>
          <w:u w:val="single"/>
        </w:rPr>
        <w:fldChar w:fldCharType="separate"/>
      </w:r>
      <w:r>
        <w:rPr>
          <w:rFonts w:eastAsia="Arial"/>
          <w:color w:val="000000"/>
          <w:sz w:val="24"/>
          <w:szCs w:val="24"/>
          <w:u w:val="single"/>
        </w:rPr>
        <w:t xml:space="preserve">artigos 138 e 139 da mesma Lei</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A alteração social ou a modificação da finalidade ou da estrutura da empresa não ensejará a extinção se não restringir sua capacidade de concluir o contrato.</w:t>
      </w:r>
      <w:r>
        <w:rPr>
          <w:rFonts w:eastAsia="Arial"/>
          <w:color w:val="000000"/>
          <w:sz w:val="24"/>
          <w:szCs w:val="24"/>
        </w:rPr>
      </w:r>
    </w:p>
    <w:p>
      <w:pPr>
        <w:pStyle w:val="1056"/>
        <w:numPr>
          <w:ilvl w:val="3"/>
          <w:numId w:val="10"/>
        </w:numPr>
        <w:pBdr/>
        <w:tabs>
          <w:tab w:val="clear" w:leader="none" w:pos="720"/>
          <w:tab w:val="left" w:leader="none" w:pos="1080"/>
        </w:tabs>
        <w:spacing w:line="276" w:lineRule="auto"/>
        <w:ind w:firstLine="0" w:left="567"/>
        <w:rPr>
          <w:rFonts w:eastAsia="Arial"/>
          <w:color w:val="000000"/>
          <w:sz w:val="24"/>
          <w:szCs w:val="24"/>
        </w:rPr>
      </w:pPr>
      <w:r>
        <w:rPr>
          <w:rFonts w:eastAsia="Arial"/>
          <w:color w:val="000000"/>
          <w:sz w:val="24"/>
          <w:szCs w:val="24"/>
        </w:rPr>
        <w:t xml:space="preserve">Se a operação implicar mudança da pessoa jurídica contratada, deverá ser formalizado termo aditivo para alteração subjetiva.</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termo de extinção, sempre que possível, será precedido:</w:t>
      </w:r>
      <w:r>
        <w:rPr>
          <w:rFonts w:eastAsia="Arial"/>
          <w:color w:val="000000"/>
          <w:sz w:val="24"/>
          <w:szCs w:val="24"/>
        </w:rPr>
      </w:r>
    </w:p>
    <w:p>
      <w:pPr>
        <w:pStyle w:val="1056"/>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Balanço dos eventos contratuais já cumpridos ou parcialmente cumpridos;</w:t>
      </w:r>
      <w:r>
        <w:rPr>
          <w:rFonts w:eastAsia="Arial"/>
          <w:color w:val="000000"/>
          <w:sz w:val="24"/>
          <w:szCs w:val="24"/>
        </w:rPr>
      </w:r>
    </w:p>
    <w:p>
      <w:pPr>
        <w:pStyle w:val="1056"/>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Relação dos pagamentos já efetuados e ainda devidos;</w:t>
      </w:r>
      <w:r>
        <w:rPr>
          <w:rFonts w:eastAsia="Arial"/>
          <w:color w:val="000000"/>
          <w:sz w:val="24"/>
          <w:szCs w:val="24"/>
        </w:rPr>
      </w:r>
    </w:p>
    <w:p>
      <w:pPr>
        <w:pStyle w:val="1056"/>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Indenizações e multas.</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 extinção do contrato não configura óbice para o reconhecimento do desequilíbrio econômico-financeiro, hipótese em que será concedida indenização por meio de termo indenizatório (</w:t>
      </w:r>
      <w:r>
        <w:fldChar w:fldCharType="begin"/>
      </w:r>
      <w:r>
        <w:rPr>
          <w:rFonts w:eastAsia="Arial"/>
          <w:color w:val="000000"/>
          <w:sz w:val="24"/>
          <w:szCs w:val="24"/>
          <w:u w:val="single"/>
        </w:rPr>
        <w:instrText xml:space="preserve"> HYPERLINK "http://www.planalto.gov.br/ccivil_03/_ato2019-2022/2021/lei/L14133.htm" \l "art131"</w:instrText>
      </w:r>
      <w:r>
        <w:rPr>
          <w:rFonts w:eastAsia="Arial"/>
          <w:color w:val="000000"/>
          <w:sz w:val="24"/>
          <w:szCs w:val="24"/>
          <w:u w:val="single"/>
        </w:rPr>
        <w:fldChar w:fldCharType="separate"/>
      </w:r>
      <w:r>
        <w:rPr>
          <w:rFonts w:eastAsia="Arial"/>
          <w:color w:val="000000"/>
          <w:sz w:val="24"/>
          <w:szCs w:val="24"/>
          <w:u w:val="single"/>
        </w:rPr>
        <w:t xml:space="preserve">art. 131, </w:t>
      </w:r>
      <w:r>
        <w:rPr>
          <w:rFonts w:eastAsia="Arial"/>
          <w:color w:val="000000"/>
          <w:sz w:val="24"/>
          <w:szCs w:val="24"/>
          <w:u w:val="single"/>
        </w:rPr>
        <w:fldChar w:fldCharType="end"/>
      </w:r>
      <w:r>
        <w:rPr>
          <w:rFonts w:eastAsia="Arial"/>
          <w:color w:val="000000"/>
          <w:sz w:val="24"/>
          <w:szCs w:val="24"/>
          <w:u w:val="single"/>
        </w:rPr>
        <w:t xml:space="preserve">caput, da Lei n.º 14.133, de 2021</w:t>
      </w:r>
      <w:r>
        <w:rPr>
          <w:rFonts w:eastAsia="Arial"/>
          <w:color w:val="000000"/>
          <w:sz w:val="24"/>
          <w:szCs w:val="24"/>
        </w:rPr>
        <w:t xml:space="preserve">). </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contrato poderá ser extinto caso se constate que o contratado mantém vínculo de natureza técnica, comercial, econômica, financeira, trabalhista ou civil com dirigente do órgão ou entidade contratante ou com agente público</w:t>
      </w:r>
      <w:r>
        <w:rPr>
          <w:rFonts w:eastAsia="Arial"/>
          <w:color w:val="000000"/>
          <w:sz w:val="24"/>
          <w:szCs w:val="24"/>
        </w:rPr>
        <w:t xml:space="preserve"> que tenha desempenhado função na licitação ou atue na fiscalização ou na gestão do contrato, ou que deles seja cônjuge, companheiro ou parente em linha reta, colateral ou por afinidade, até o terceiro grau (art. 14, inciso IV, da Lei n.º 14.133, de 2021).</w:t>
      </w:r>
      <w:r>
        <w:rPr>
          <w:rFonts w:eastAsia="Arial"/>
          <w:color w:val="000000"/>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DÉCIMA TERCEIRA – DOTAÇÃO ORÇAMENTÁRIA (</w:t>
      </w:r>
      <w:r>
        <w:fldChar w:fldCharType="begin"/>
      </w:r>
      <w:r>
        <w:rPr>
          <w:rFonts w:eastAsia="Arial"/>
          <w:b/>
          <w:color w:val="000000"/>
          <w:sz w:val="24"/>
          <w:szCs w:val="24"/>
          <w:u w:val="single"/>
        </w:rPr>
        <w:instrText xml:space="preserve"> HYPERLINK "http://www.planalto.gov.br/ccivil_03/_ato2019-2022/2021/lei/L14133.htm" \l "art92"</w:instrText>
      </w:r>
      <w:r>
        <w:rPr>
          <w:rFonts w:eastAsia="Arial"/>
          <w:b/>
          <w:color w:val="000000"/>
          <w:sz w:val="24"/>
          <w:szCs w:val="24"/>
          <w:u w:val="single"/>
        </w:rPr>
        <w:fldChar w:fldCharType="separate"/>
      </w:r>
      <w:r>
        <w:rPr>
          <w:rFonts w:eastAsia="Arial"/>
          <w:b/>
          <w:color w:val="000000"/>
          <w:sz w:val="24"/>
          <w:szCs w:val="24"/>
          <w:u w:val="single"/>
        </w:rPr>
        <w:t xml:space="preserve">art. 92, VIII</w:t>
      </w:r>
      <w:r>
        <w:rPr>
          <w:rFonts w:eastAsia="Arial"/>
          <w:b/>
          <w:color w:val="000000"/>
          <w:sz w:val="24"/>
          <w:szCs w:val="24"/>
          <w:u w:val="single"/>
        </w:rPr>
        <w:fldChar w:fldCharType="end"/>
      </w:r>
      <w:r>
        <w:rPr>
          <w:rFonts w:eastAsia="Arial"/>
          <w:b/>
          <w:color w:val="000000"/>
          <w:sz w:val="24"/>
          <w:szCs w:val="24"/>
          <w:u w:val="single"/>
        </w:rPr>
        <w:t xml:space="preserve">)</w:t>
      </w: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As despesas decorrentes da presente contratação correrão à conta de recursos específicos consignados no Orçamento Geral da União deste exercício, na dotação abaixo discriminada:</w:t>
      </w:r>
      <w:r>
        <w:rPr>
          <w:rFonts w:eastAsia="Arial"/>
          <w:color w:val="000000"/>
          <w:sz w:val="24"/>
          <w:szCs w:val="24"/>
        </w:rPr>
      </w:r>
    </w:p>
    <w:p>
      <w:pPr>
        <w:pStyle w:val="1056"/>
        <w:pBdr/>
        <w:spacing w:line="276" w:lineRule="auto"/>
        <w:ind/>
        <w:rPr>
          <w:rFonts w:eastAsia="Arial"/>
          <w:color w:val="000000"/>
          <w:sz w:val="24"/>
          <w:szCs w:val="24"/>
        </w:rPr>
      </w:pPr>
      <w:r>
        <w:rPr>
          <w:rFonts w:eastAsia="Arial"/>
          <w:color w:val="000000"/>
          <w:sz w:val="24"/>
          <w:szCs w:val="24"/>
        </w:rPr>
      </w:r>
      <w:r>
        <w:rPr>
          <w:rFonts w:eastAsia="Arial"/>
          <w:color w:val="000000"/>
          <w:sz w:val="24"/>
          <w:szCs w:val="24"/>
        </w:rPr>
      </w:r>
    </w:p>
    <w:tbl>
      <w:tblPr>
        <w:tblStyle w:val="1389"/>
        <w:jc w:val="center"/>
        <w:tblInd w:w="0" w:type="dxa"/>
        <w:tblW w:w="9531" w:type="dxa"/>
        <w:tblCellMar>
          <w:left w:w="108" w:type="dxa"/>
          <w:top w:w="0" w:type="dxa"/>
          <w:right w:w="108" w:type="dxa"/>
          <w:bottom w:w="0" w:type="dxa"/>
        </w:tblCellMar>
        <w:tblBorders/>
        <w:tblLayout w:type="fixed"/>
        <w:tblLook w:val="0400" w:firstRow="0" w:lastRow="0" w:firstColumn="0" w:lastColumn="0" w:noHBand="0" w:noVBand="1"/>
      </w:tblPr>
      <w:tblGrid>
        <w:gridCol w:w="3210"/>
        <w:gridCol w:w="6321"/>
      </w:tblGrid>
      <w:tr>
        <w:trPr>
          <w:trHeight w:val="551"/>
        </w:trPr>
        <w:tc>
          <w:tcPr>
            <w:gridSpan w:val="2"/>
            <w:shd w:val="clear" w:color="auto" w:fill="d9d9d9"/>
            <w:tcBorders>
              <w:top w:val="single" w:color="000000" w:sz="4" w:space="0"/>
              <w:left w:val="single" w:color="000000" w:sz="4" w:space="0"/>
              <w:bottom w:val="single" w:color="000000" w:sz="4" w:space="0"/>
              <w:right w:val="single" w:color="000000" w:sz="4" w:space="0"/>
            </w:tcBorders>
            <w:tcW w:w="9531" w:type="dxa"/>
            <w:vAlign w:val="center"/>
            <w:textDirection w:val="lrTb"/>
            <w:noWrap w:val="false"/>
          </w:tcPr>
          <w:p>
            <w:pPr>
              <w:pStyle w:val="1056"/>
              <w:widowControl w:val="true"/>
              <w:pBdr/>
              <w:spacing w:after="120" w:before="120"/>
              <w:ind/>
              <w:jc w:val="center"/>
              <w:rPr>
                <w:b/>
                <w:sz w:val="24"/>
                <w:szCs w:val="24"/>
              </w:rPr>
            </w:pPr>
            <w:r>
              <w:rPr>
                <w:rFonts w:cs="Arial"/>
                <w:b/>
                <w:sz w:val="24"/>
                <w:szCs w:val="24"/>
                <w:lang w:val="pt-BR" w:eastAsia="pt-BR" w:bidi="ar-SA"/>
              </w:rPr>
              <w:t xml:space="preserve">SECRETARIA MUNICIPAL DE GOVERNO</w:t>
            </w:r>
            <w:r>
              <w:rPr>
                <w:b/>
                <w:sz w:val="24"/>
                <w:szCs w:val="24"/>
              </w:rPr>
            </w:r>
          </w:p>
        </w:tc>
      </w:tr>
      <w:tr>
        <w:trPr>
          <w:trHeight w:val="184"/>
        </w:trPr>
        <w:tc>
          <w:tcPr>
            <w:gridSpan w:val="2"/>
            <w:shd w:val="clear" w:color="auto" w:fill="auto"/>
            <w:tcBorders>
              <w:top w:val="single" w:color="000000" w:sz="4" w:space="0"/>
              <w:left w:val="single" w:color="000000" w:sz="4" w:space="0"/>
              <w:bottom w:val="single" w:color="000000" w:sz="4" w:space="0"/>
              <w:right w:val="single" w:color="000000" w:sz="4" w:space="0"/>
            </w:tcBorders>
            <w:tcW w:w="9531" w:type="dxa"/>
            <w:textDirection w:val="lrTb"/>
            <w:noWrap w:val="false"/>
          </w:tcPr>
          <w:p>
            <w:pPr>
              <w:pStyle w:val="1056"/>
              <w:widowControl w:val="true"/>
              <w:pBdr/>
              <w:spacing w:after="120" w:before="120"/>
              <w:ind/>
              <w:rPr>
                <w:b/>
                <w:sz w:val="24"/>
                <w:szCs w:val="24"/>
              </w:rPr>
            </w:pPr>
            <w:r>
              <w:rPr>
                <w:b/>
                <w:sz w:val="24"/>
                <w:szCs w:val="24"/>
              </w:rPr>
            </w:r>
            <w:r>
              <w:rPr>
                <w:b/>
                <w:sz w:val="24"/>
                <w:szCs w:val="24"/>
              </w:rPr>
            </w:r>
          </w:p>
        </w:tc>
      </w:tr>
      <w:tr>
        <w:trPr>
          <w:trHeight w:val="184"/>
        </w:trPr>
        <w:tc>
          <w:tcPr>
            <w:shd w:val="clear" w:color="auto" w:fill="auto"/>
            <w:tcBorders>
              <w:top w:val="single" w:color="000000" w:sz="4" w:space="0"/>
              <w:left w:val="single" w:color="000000" w:sz="4" w:space="0"/>
              <w:bottom w:val="single" w:color="000000" w:sz="4" w:space="0"/>
              <w:right w:val="single" w:color="000000" w:sz="4" w:space="0"/>
            </w:tcBorders>
            <w:tcW w:w="3210" w:type="dxa"/>
            <w:vAlign w:val="center"/>
            <w:textDirection w:val="lrTb"/>
            <w:noWrap w:val="false"/>
          </w:tcPr>
          <w:p>
            <w:pPr>
              <w:pStyle w:val="1056"/>
              <w:widowControl w:val="true"/>
              <w:pBdr/>
              <w:spacing w:after="120" w:before="120"/>
              <w:ind/>
              <w:rPr>
                <w:b/>
                <w:sz w:val="24"/>
                <w:szCs w:val="24"/>
              </w:rPr>
            </w:pPr>
            <w:r>
              <w:rPr>
                <w:b/>
                <w:sz w:val="24"/>
                <w:szCs w:val="24"/>
              </w:rPr>
            </w:r>
            <w:r>
              <w:rPr>
                <w:b/>
                <w:sz w:val="24"/>
                <w:szCs w:val="24"/>
              </w:rPr>
            </w:r>
          </w:p>
        </w:tc>
        <w:tc>
          <w:tcPr>
            <w:shd w:val="clear" w:color="auto" w:fill="auto"/>
            <w:tcBorders>
              <w:top w:val="single" w:color="000000" w:sz="4" w:space="0"/>
              <w:left w:val="single" w:color="000000" w:sz="4" w:space="0"/>
              <w:bottom w:val="single" w:color="000000" w:sz="4" w:space="0"/>
              <w:right w:val="single" w:color="000000" w:sz="4" w:space="0"/>
            </w:tcBorders>
            <w:tcW w:w="6321" w:type="dxa"/>
            <w:vAlign w:val="center"/>
            <w:textDirection w:val="lrTb"/>
            <w:noWrap w:val="false"/>
          </w:tcPr>
          <w:p>
            <w:pPr>
              <w:pStyle w:val="1056"/>
              <w:widowControl w:val="true"/>
              <w:pBdr/>
              <w:spacing w:after="120" w:before="120"/>
              <w:ind/>
              <w:rPr>
                <w:b/>
                <w:sz w:val="24"/>
                <w:szCs w:val="24"/>
              </w:rPr>
            </w:pPr>
            <w:r>
              <w:rPr>
                <w:b/>
                <w:sz w:val="24"/>
                <w:szCs w:val="24"/>
              </w:rPr>
            </w:r>
            <w:r>
              <w:rPr>
                <w:b/>
                <w:sz w:val="24"/>
                <w:szCs w:val="24"/>
              </w:rPr>
            </w:r>
          </w:p>
        </w:tc>
      </w:tr>
      <w:tr>
        <w:trPr>
          <w:trHeight w:val="184"/>
        </w:trPr>
        <w:tc>
          <w:tcPr>
            <w:shd w:val="clear" w:color="auto" w:fill="auto"/>
            <w:tcBorders>
              <w:top w:val="single" w:color="000000" w:sz="4" w:space="0"/>
              <w:left w:val="single" w:color="000000" w:sz="4" w:space="0"/>
              <w:bottom w:val="single" w:color="000000" w:sz="4" w:space="0"/>
              <w:right w:val="single" w:color="000000" w:sz="4" w:space="0"/>
            </w:tcBorders>
            <w:tcW w:w="3210" w:type="dxa"/>
            <w:vAlign w:val="center"/>
            <w:textDirection w:val="lrTb"/>
            <w:noWrap w:val="false"/>
          </w:tcPr>
          <w:p>
            <w:pPr>
              <w:pStyle w:val="1056"/>
              <w:widowControl w:val="true"/>
              <w:pBdr/>
              <w:spacing w:after="120" w:before="120"/>
              <w:ind/>
              <w:rPr>
                <w:b/>
                <w:sz w:val="24"/>
                <w:szCs w:val="24"/>
              </w:rPr>
            </w:pPr>
            <w:r>
              <w:rPr>
                <w:b/>
                <w:sz w:val="24"/>
                <w:szCs w:val="24"/>
              </w:rPr>
            </w:r>
            <w:r>
              <w:rPr>
                <w:b/>
                <w:sz w:val="24"/>
                <w:szCs w:val="24"/>
              </w:rPr>
            </w:r>
          </w:p>
        </w:tc>
        <w:tc>
          <w:tcPr>
            <w:shd w:val="clear" w:color="auto" w:fill="auto"/>
            <w:tcBorders>
              <w:top w:val="single" w:color="000000" w:sz="4" w:space="0"/>
              <w:left w:val="single" w:color="000000" w:sz="4" w:space="0"/>
              <w:bottom w:val="single" w:color="000000" w:sz="4" w:space="0"/>
              <w:right w:val="single" w:color="000000" w:sz="4" w:space="0"/>
            </w:tcBorders>
            <w:tcW w:w="6321" w:type="dxa"/>
            <w:vAlign w:val="center"/>
            <w:textDirection w:val="lrTb"/>
            <w:noWrap w:val="false"/>
          </w:tcPr>
          <w:p>
            <w:pPr>
              <w:pStyle w:val="1056"/>
              <w:widowControl w:val="true"/>
              <w:pBdr/>
              <w:spacing w:after="120" w:before="120"/>
              <w:ind/>
              <w:rPr>
                <w:b/>
                <w:sz w:val="24"/>
                <w:szCs w:val="24"/>
              </w:rPr>
            </w:pPr>
            <w:r>
              <w:rPr>
                <w:b/>
                <w:sz w:val="24"/>
                <w:szCs w:val="24"/>
              </w:rPr>
            </w:r>
            <w:r>
              <w:rPr>
                <w:b/>
                <w:sz w:val="24"/>
                <w:szCs w:val="24"/>
              </w:rPr>
            </w:r>
          </w:p>
        </w:tc>
      </w:tr>
    </w:tbl>
    <w:p>
      <w:pPr>
        <w:pStyle w:val="1056"/>
        <w:pBdr/>
        <w:spacing w:line="276" w:lineRule="auto"/>
        <w:ind/>
        <w:rPr>
          <w:rFonts w:eastAsia="Arial"/>
          <w:color w:val="000000"/>
          <w:sz w:val="24"/>
          <w:szCs w:val="24"/>
        </w:rPr>
      </w:pPr>
      <w:r>
        <w:rPr>
          <w:rFonts w:eastAsia="Arial"/>
          <w:color w:val="000000"/>
          <w:sz w:val="24"/>
          <w:szCs w:val="24"/>
        </w:rPr>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 dotação relativa aos exercícios financeiros subsequentes será indicada após aprovação da Lei Orçamentária respectiva e liberação dos créditos correspondentes, mediante apostilamento.</w:t>
      </w:r>
      <w:r>
        <w:rPr>
          <w:rFonts w:eastAsia="Arial"/>
          <w:color w:val="000000"/>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DÉCIMA QUARTA – DOS CASOS OMISSOS (</w:t>
      </w:r>
      <w:r>
        <w:fldChar w:fldCharType="begin"/>
      </w:r>
      <w:r>
        <w:rPr>
          <w:rFonts w:eastAsia="Arial"/>
          <w:b/>
          <w:color w:val="000000"/>
          <w:sz w:val="24"/>
          <w:szCs w:val="24"/>
          <w:u w:val="single"/>
        </w:rPr>
        <w:instrText xml:space="preserve"> HYPERLINK "http://www.planalto.gov.br/ccivil_03/_ato2019-2022/2021/lei/L14133.htm" \l "art92"</w:instrText>
      </w:r>
      <w:r>
        <w:rPr>
          <w:rFonts w:eastAsia="Arial"/>
          <w:b/>
          <w:color w:val="000000"/>
          <w:sz w:val="24"/>
          <w:szCs w:val="24"/>
          <w:u w:val="single"/>
        </w:rPr>
        <w:fldChar w:fldCharType="separate"/>
      </w:r>
      <w:r>
        <w:rPr>
          <w:rFonts w:eastAsia="Arial"/>
          <w:b/>
          <w:color w:val="000000"/>
          <w:sz w:val="24"/>
          <w:szCs w:val="24"/>
          <w:u w:val="single"/>
        </w:rPr>
        <w:t xml:space="preserve">art. 92, III</w:t>
      </w:r>
      <w:r>
        <w:rPr>
          <w:rFonts w:eastAsia="Arial"/>
          <w:b/>
          <w:color w:val="000000"/>
          <w:sz w:val="24"/>
          <w:szCs w:val="24"/>
          <w:u w:val="single"/>
        </w:rPr>
        <w:fldChar w:fldCharType="end"/>
      </w:r>
      <w:r>
        <w:rPr>
          <w:rFonts w:eastAsia="Arial"/>
          <w:b/>
          <w:color w:val="000000"/>
          <w:sz w:val="24"/>
          <w:szCs w:val="24"/>
          <w:u w:val="single"/>
        </w:rPr>
        <w:t xml:space="preserve">)</w:t>
      </w: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Os casos omissos serão decididos pelo contratante, segundo as disposições contidas na Lei </w:t>
      </w:r>
      <w:hyperlink r:id="rId54" w:tooltip="http://www.planalto.gov.br/ccivil_03/_ato2019-2022/2021/lei/L14133.htm" w:history="1">
        <w:r>
          <w:rPr>
            <w:rFonts w:eastAsia="Arial"/>
            <w:color w:val="000000"/>
            <w:sz w:val="24"/>
            <w:szCs w:val="24"/>
            <w:u w:val="single"/>
          </w:rPr>
          <w:t xml:space="preserve">nº 14.133, de 2021</w:t>
        </w:r>
      </w:hyperlink>
      <w:r>
        <w:rPr>
          <w:rFonts w:eastAsia="Arial"/>
          <w:color w:val="000000"/>
          <w:sz w:val="24"/>
          <w:szCs w:val="24"/>
        </w:rPr>
        <w:t xml:space="preserve">, e demais normas federais aplicáveis e, subsidiariamente, segundo as disposições contidas na </w:t>
      </w:r>
      <w:hyperlink r:id="rId55" w:tooltip="https://www.planalto.gov.br/ccivil_03/leis/l8078compilado.htm" w:history="1">
        <w:r>
          <w:rPr>
            <w:rFonts w:eastAsia="Arial"/>
            <w:color w:val="000000"/>
            <w:sz w:val="24"/>
            <w:szCs w:val="24"/>
            <w:u w:val="single"/>
          </w:rPr>
          <w:t xml:space="preserve">Lei nº 8.078, de 1990 – Código de Defesa do Consumidor</w:t>
        </w:r>
      </w:hyperlink>
      <w:r>
        <w:rPr>
          <w:rFonts w:eastAsia="Arial"/>
          <w:color w:val="000000"/>
          <w:sz w:val="24"/>
          <w:szCs w:val="24"/>
        </w:rPr>
        <w:t xml:space="preserve"> – e normas e princípios gerais dos contratos.</w:t>
      </w:r>
      <w:r>
        <w:rPr>
          <w:rFonts w:eastAsia="Arial"/>
          <w:color w:val="000000"/>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DÉCIMA QUINTA – ALTERAÇÕES</w:t>
      </w: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Eventuais alterações contratuais reger-se-ão pela disciplina dos </w:t>
      </w:r>
      <w:r>
        <w:fldChar w:fldCharType="begin"/>
      </w:r>
      <w:r>
        <w:rPr>
          <w:rFonts w:eastAsia="Arial"/>
          <w:color w:val="000000"/>
          <w:sz w:val="24"/>
          <w:szCs w:val="24"/>
          <w:u w:val="single"/>
        </w:rPr>
        <w:instrText xml:space="preserve"> HYPERLINK "http://www.planalto.gov.br/ccivil_03/_ato2019-2022/2021/lei/L14133.htm" \l "art124"</w:instrText>
      </w:r>
      <w:r>
        <w:rPr>
          <w:rFonts w:eastAsia="Arial"/>
          <w:color w:val="000000"/>
          <w:sz w:val="24"/>
          <w:szCs w:val="24"/>
          <w:u w:val="single"/>
        </w:rPr>
        <w:fldChar w:fldCharType="separate"/>
      </w:r>
      <w:r>
        <w:rPr>
          <w:rFonts w:eastAsia="Arial"/>
          <w:color w:val="000000"/>
          <w:sz w:val="24"/>
          <w:szCs w:val="24"/>
          <w:u w:val="single"/>
        </w:rPr>
        <w:t xml:space="preserve">arts. 124 e seguintes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contratado é obrigado a aceitar, nas mesmas condições contratuais, os acréscimos ou supressões que se fizerem necessários, até o limite de 25% (vinte e cinco por cento) do valor inicial atualizado do contrato.</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As alterações contratuais deverão ser promovidas mediante celebração de termo aditivo, submetido à </w:t>
      </w:r>
      <w:r>
        <w:rPr>
          <w:rFonts w:eastAsia="Arial"/>
          <w:color w:val="000000"/>
          <w:sz w:val="24"/>
          <w:szCs w:val="24"/>
        </w:rPr>
        <w:t xml:space="preserve">prévia aprovação da consultoria jurídica do contratante, salvo nos casos de justificada necessidade de antecipação de seus efeitos, hipótese em que a formalização do aditivo deverá ocorrer no prazo máximo de 1 (um) mês (art. 132 da Lei nº 14.133, de 2021).</w:t>
      </w:r>
      <w:r>
        <w:rPr>
          <w:rFonts w:eastAsia="Arial"/>
          <w:color w:val="000000"/>
          <w:sz w:val="24"/>
          <w:szCs w:val="24"/>
        </w:rP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Registros que não caracterizam alteração do contrato podem ser realizados por simples apostila, dispensada a celebração de termo aditivo, na forma do </w:t>
      </w:r>
      <w:r>
        <w:fldChar w:fldCharType="begin"/>
      </w:r>
      <w:r>
        <w:rPr>
          <w:rFonts w:eastAsia="Arial"/>
          <w:color w:val="000000"/>
          <w:sz w:val="24"/>
          <w:szCs w:val="24"/>
          <w:u w:val="single"/>
        </w:rPr>
        <w:instrText xml:space="preserve"> HYPERLINK "http://www.planalto.gov.br/ccivil_03/_ato2019-2022/2021/lei/L14133.htm" \l "art136"</w:instrText>
      </w:r>
      <w:r>
        <w:rPr>
          <w:rFonts w:eastAsia="Arial"/>
          <w:color w:val="000000"/>
          <w:sz w:val="24"/>
          <w:szCs w:val="24"/>
          <w:u w:val="single"/>
        </w:rPr>
        <w:fldChar w:fldCharType="separate"/>
      </w:r>
      <w:r>
        <w:rPr>
          <w:rFonts w:eastAsia="Arial"/>
          <w:color w:val="000000"/>
          <w:sz w:val="24"/>
          <w:szCs w:val="24"/>
          <w:u w:val="single"/>
        </w:rPr>
        <w:t xml:space="preserve">art. 136 da Lei nº 14.133, de 2021</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DÉCIMA SEXTA – PUBLICAÇÃO</w:t>
      </w: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Incumbirá ao contratante divulgar o presente instrumento no Portal Nacional de Contratações Públicas (PNCP), na forma prevista no </w:t>
      </w:r>
      <w:r>
        <w:fldChar w:fldCharType="begin"/>
      </w:r>
      <w:r>
        <w:rPr>
          <w:rFonts w:eastAsia="Arial"/>
          <w:color w:val="000000"/>
          <w:sz w:val="24"/>
          <w:szCs w:val="24"/>
          <w:u w:val="single"/>
        </w:rPr>
        <w:instrText xml:space="preserve"> HYPERLINK "http://www.planalto.gov.br/ccivil_03/_ato2019-2022/2021/lei/L14133.htm" \l "art94"</w:instrText>
      </w:r>
      <w:r>
        <w:rPr>
          <w:rFonts w:eastAsia="Arial"/>
          <w:color w:val="000000"/>
          <w:sz w:val="24"/>
          <w:szCs w:val="24"/>
          <w:u w:val="single"/>
        </w:rPr>
        <w:fldChar w:fldCharType="separate"/>
      </w:r>
      <w:r>
        <w:rPr>
          <w:rFonts w:eastAsia="Arial"/>
          <w:color w:val="000000"/>
          <w:sz w:val="24"/>
          <w:szCs w:val="24"/>
          <w:u w:val="single"/>
        </w:rPr>
        <w:t xml:space="preserve">art. 94 da Lei 14.133, de 2021</w:t>
      </w:r>
      <w:r>
        <w:rPr>
          <w:rFonts w:eastAsia="Arial"/>
          <w:color w:val="000000"/>
          <w:sz w:val="24"/>
          <w:szCs w:val="24"/>
          <w:u w:val="single"/>
        </w:rPr>
        <w:fldChar w:fldCharType="end"/>
      </w:r>
      <w:r>
        <w:rPr>
          <w:rFonts w:eastAsia="Arial"/>
          <w:color w:val="000000"/>
          <w:sz w:val="24"/>
          <w:szCs w:val="24"/>
        </w:rPr>
        <w:t xml:space="preserve">, bem como no respectivo sítio oficial na Internet, em atenção ao art. 91, </w:t>
      </w:r>
      <w:r>
        <w:rPr>
          <w:rFonts w:eastAsia="Arial"/>
          <w:i/>
          <w:color w:val="000000"/>
          <w:sz w:val="24"/>
          <w:szCs w:val="24"/>
        </w:rPr>
        <w:t xml:space="preserve">caput,</w:t>
      </w:r>
      <w:r>
        <w:rPr>
          <w:rFonts w:eastAsia="Arial"/>
          <w:color w:val="000000"/>
          <w:sz w:val="24"/>
          <w:szCs w:val="24"/>
        </w:rPr>
        <w:t xml:space="preserve"> da Lei n.º 14.133, de 2021, e ao </w:t>
      </w:r>
      <w:r>
        <w:fldChar w:fldCharType="begin"/>
      </w:r>
      <w:r>
        <w:rPr>
          <w:rFonts w:eastAsia="Arial"/>
          <w:color w:val="000000"/>
          <w:sz w:val="24"/>
          <w:szCs w:val="24"/>
          <w:u w:val="single"/>
        </w:rPr>
        <w:instrText xml:space="preserve"> HYPERLINK "https://www.planalto.gov.br/ccivil_03/_ato2011-2014/2011/lei/l12527.htm" \l "art8%C2%A72"</w:instrText>
      </w:r>
      <w:r>
        <w:rPr>
          <w:rFonts w:eastAsia="Arial"/>
          <w:color w:val="000000"/>
          <w:sz w:val="24"/>
          <w:szCs w:val="24"/>
          <w:u w:val="single"/>
        </w:rPr>
        <w:fldChar w:fldCharType="separate"/>
      </w:r>
      <w:r>
        <w:rPr>
          <w:rFonts w:eastAsia="Arial"/>
          <w:color w:val="000000"/>
          <w:sz w:val="24"/>
          <w:szCs w:val="24"/>
          <w:u w:val="single"/>
        </w:rPr>
        <w:t xml:space="preserve">art. 8º, §2º, da Lei n. 12.527, de 2011</w:t>
      </w:r>
      <w:r>
        <w:rPr>
          <w:rFonts w:eastAsia="Arial"/>
          <w:color w:val="000000"/>
          <w:sz w:val="24"/>
          <w:szCs w:val="24"/>
          <w:u w:val="single"/>
        </w:rPr>
        <w:fldChar w:fldCharType="end"/>
      </w:r>
      <w:r>
        <w:rPr>
          <w:rFonts w:eastAsia="Arial"/>
          <w:color w:val="000000"/>
          <w:sz w:val="24"/>
          <w:szCs w:val="24"/>
        </w:rPr>
        <w:t xml:space="preserve">, c/c </w:t>
      </w:r>
      <w:r>
        <w:fldChar w:fldCharType="begin"/>
      </w:r>
      <w:r>
        <w:rPr>
          <w:rFonts w:eastAsia="Arial"/>
          <w:color w:val="000000"/>
          <w:sz w:val="24"/>
          <w:szCs w:val="24"/>
          <w:u w:val="single"/>
        </w:rPr>
        <w:instrText xml:space="preserve"> HYPERLINK "https://www.planalto.gov.br/ccivil_03/_ato2011-2014/2012/decreto/d7724.htm" \l "art7%C2%A73"</w:instrText>
      </w:r>
      <w:r>
        <w:rPr>
          <w:rFonts w:eastAsia="Arial"/>
          <w:color w:val="000000"/>
          <w:sz w:val="24"/>
          <w:szCs w:val="24"/>
          <w:u w:val="single"/>
        </w:rPr>
        <w:fldChar w:fldCharType="separate"/>
      </w:r>
      <w:r>
        <w:rPr>
          <w:rFonts w:eastAsia="Arial"/>
          <w:color w:val="000000"/>
          <w:sz w:val="24"/>
          <w:szCs w:val="24"/>
          <w:u w:val="single"/>
        </w:rPr>
        <w:t xml:space="preserve">art. 7º, §3º, inciso V, do Decreto n. 7.724, de 2012</w:t>
      </w:r>
      <w:r>
        <w:rPr>
          <w:rFonts w:eastAsia="Arial"/>
          <w:color w:val="000000"/>
          <w:sz w:val="24"/>
          <w:szCs w:val="24"/>
          <w:u w:val="single"/>
        </w:rPr>
        <w:fldChar w:fldCharType="end"/>
      </w:r>
      <w:r>
        <w:rPr>
          <w:rFonts w:eastAsia="Arial"/>
          <w:color w:val="000000"/>
          <w:sz w:val="24"/>
          <w:szCs w:val="24"/>
          <w:u w:val="single"/>
        </w:rPr>
        <w:t xml:space="preserve"> e</w:t>
      </w:r>
      <w:r>
        <w:rPr>
          <w:rFonts w:eastAsia="Arial"/>
          <w:color w:val="000000"/>
          <w:sz w:val="24"/>
          <w:szCs w:val="24"/>
        </w:rPr>
        <w:t xml:space="preserve"> no Boletim Oficial do Município de Rio das Flôres/RJ.</w:t>
      </w:r>
      <w:r>
        <w:rPr>
          <w:rFonts w:eastAsia="Arial"/>
          <w:color w:val="000000"/>
          <w:sz w:val="24"/>
          <w:szCs w:val="24"/>
        </w:rPr>
      </w:r>
    </w:p>
    <w:p>
      <w:pPr>
        <w:pStyle w:val="1056"/>
        <w:keepNext w:val="true"/>
        <w:keepLines w:val="true"/>
        <w:numPr>
          <w:ilvl w:val="0"/>
          <w:numId w:val="10"/>
        </w:numPr>
        <w:pBdr/>
        <w:tabs>
          <w:tab w:val="left" w:leader="none" w:pos="0"/>
          <w:tab w:val="left" w:leader="none" w:pos="142"/>
          <w:tab w:val="clear" w:leader="none" w:pos="720"/>
        </w:tabs>
        <w:spacing w:after="288" w:before="288" w:line="312" w:lineRule="auto"/>
        <w:ind/>
        <w:rPr/>
      </w:pPr>
      <w:r>
        <w:rPr>
          <w:rFonts w:eastAsia="Arial"/>
          <w:b/>
          <w:color w:val="000000"/>
          <w:sz w:val="24"/>
          <w:szCs w:val="24"/>
          <w:u w:val="single"/>
        </w:rPr>
        <w:t xml:space="preserve">CLÁUSULA DÉCIMA SÉTIMA– FORO (</w:t>
      </w:r>
      <w:r>
        <w:fldChar w:fldCharType="begin"/>
      </w:r>
      <w:r>
        <w:rPr>
          <w:rFonts w:eastAsia="Arial"/>
          <w:b/>
          <w:color w:val="000000"/>
          <w:sz w:val="24"/>
          <w:szCs w:val="24"/>
          <w:u w:val="single"/>
        </w:rPr>
        <w:instrText xml:space="preserve"> HYPERLINK "http://www.planalto.gov.br/ccivil_03/_ato2019-2022/2021/lei/L14133.htm" \l "art92%C2%A71"</w:instrText>
      </w:r>
      <w:r>
        <w:rPr>
          <w:rFonts w:eastAsia="Arial"/>
          <w:b/>
          <w:color w:val="000000"/>
          <w:sz w:val="24"/>
          <w:szCs w:val="24"/>
          <w:u w:val="single"/>
        </w:rPr>
        <w:fldChar w:fldCharType="separate"/>
      </w:r>
      <w:r>
        <w:rPr>
          <w:rFonts w:eastAsia="Arial"/>
          <w:b/>
          <w:color w:val="000000"/>
          <w:sz w:val="24"/>
          <w:szCs w:val="24"/>
          <w:u w:val="single"/>
        </w:rPr>
        <w:t xml:space="preserve">art. 92, §1º</w:t>
      </w:r>
      <w:r>
        <w:rPr>
          <w:rFonts w:eastAsia="Arial"/>
          <w:b/>
          <w:color w:val="000000"/>
          <w:sz w:val="24"/>
          <w:szCs w:val="24"/>
          <w:u w:val="single"/>
        </w:rPr>
        <w:fldChar w:fldCharType="end"/>
      </w:r>
      <w:r>
        <w:rPr>
          <w:rFonts w:eastAsia="Arial"/>
          <w:b/>
          <w:color w:val="000000"/>
          <w:sz w:val="24"/>
          <w:szCs w:val="24"/>
          <w:u w:val="single"/>
        </w:rPr>
        <w:t xml:space="preserve">)</w:t>
      </w:r>
      <w:r/>
    </w:p>
    <w:p>
      <w:pPr>
        <w:pStyle w:val="1056"/>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Fica eleito o Foro da Comarca de Rio das Flôres/RJ para dirimir os litígios que decorrerem da execução deste Termo de Contrato que não puderem ser compostos pela conciliação, conforme </w:t>
      </w:r>
      <w:r>
        <w:fldChar w:fldCharType="begin"/>
      </w:r>
      <w:r>
        <w:rPr>
          <w:rFonts w:eastAsia="Arial"/>
          <w:color w:val="000000"/>
          <w:sz w:val="24"/>
          <w:szCs w:val="24"/>
          <w:u w:val="single"/>
        </w:rPr>
        <w:instrText xml:space="preserve"> HYPERLINK "http://www.planalto.gov.br/ccivil_03/_ato2019-2022/2021/lei/L14133.htm" \l "art92%C2%A71"</w:instrText>
      </w:r>
      <w:r>
        <w:rPr>
          <w:rFonts w:eastAsia="Arial"/>
          <w:color w:val="000000"/>
          <w:sz w:val="24"/>
          <w:szCs w:val="24"/>
          <w:u w:val="single"/>
        </w:rPr>
        <w:fldChar w:fldCharType="separate"/>
      </w:r>
      <w:r>
        <w:rPr>
          <w:rFonts w:eastAsia="Arial"/>
          <w:color w:val="000000"/>
          <w:sz w:val="24"/>
          <w:szCs w:val="24"/>
          <w:u w:val="single"/>
        </w:rPr>
        <w:t xml:space="preserve">art. 92, §1º, da Lei nº 14.133/21</w:t>
      </w:r>
      <w:r>
        <w:rPr>
          <w:rFonts w:eastAsia="Arial"/>
          <w:color w:val="000000"/>
          <w:sz w:val="24"/>
          <w:szCs w:val="24"/>
          <w:u w:val="single"/>
        </w:rPr>
        <w:fldChar w:fldCharType="end"/>
      </w:r>
      <w:r>
        <w:rPr>
          <w:rFonts w:eastAsia="Arial"/>
          <w:color w:val="000000"/>
          <w:sz w:val="24"/>
          <w:szCs w:val="24"/>
        </w:rPr>
        <w:t xml:space="preserve">.</w:t>
      </w:r>
      <w:r>
        <w:rPr>
          <w:rFonts w:eastAsia="Arial"/>
          <w:color w:val="000000"/>
          <w:sz w:val="24"/>
          <w:szCs w:val="24"/>
        </w:rPr>
      </w:r>
    </w:p>
    <w:p>
      <w:pPr>
        <w:pStyle w:val="1056"/>
        <w:pBdr/>
        <w:tabs>
          <w:tab w:val="clear" w:leader="none" w:pos="720"/>
          <w:tab w:val="left" w:leader="none" w:pos="9712"/>
        </w:tabs>
        <w:spacing w:after="80" w:before="120"/>
        <w:ind w:right="357"/>
        <w:jc w:val="right"/>
        <w:rPr>
          <w:rFonts w:eastAsia="Arial"/>
          <w:color w:val="000000"/>
          <w:sz w:val="24"/>
          <w:szCs w:val="24"/>
        </w:rPr>
      </w:pPr>
      <w:r>
        <w:rPr>
          <w:rFonts w:eastAsia="Arial"/>
          <w:color w:val="000000"/>
          <w:sz w:val="24"/>
          <w:szCs w:val="24"/>
        </w:rPr>
      </w:r>
      <w:r>
        <w:rPr>
          <w:rFonts w:eastAsia="Arial"/>
          <w:color w:val="000000"/>
          <w:sz w:val="24"/>
          <w:szCs w:val="24"/>
        </w:rPr>
      </w:r>
    </w:p>
    <w:p>
      <w:pPr>
        <w:pStyle w:val="1056"/>
        <w:pBdr/>
        <w:tabs>
          <w:tab w:val="clear" w:leader="none" w:pos="720"/>
          <w:tab w:val="left" w:leader="none" w:pos="9712"/>
        </w:tabs>
        <w:spacing w:after="80" w:before="120"/>
        <w:ind w:right="357"/>
        <w:jc w:val="right"/>
        <w:rPr>
          <w:rFonts w:eastAsia="Arial"/>
          <w:color w:val="000000"/>
          <w:sz w:val="24"/>
          <w:szCs w:val="24"/>
        </w:rPr>
      </w:pPr>
      <w:r>
        <w:rPr>
          <w:rFonts w:eastAsia="Arial"/>
          <w:color w:val="000000"/>
          <w:sz w:val="24"/>
          <w:szCs w:val="24"/>
        </w:rPr>
        <w:t xml:space="preserve">Rio das Flôres, ........ de .......... de 2026.</w:t>
      </w:r>
      <w:r>
        <w:rPr>
          <w:rFonts w:eastAsia="Arial"/>
          <w:color w:val="000000"/>
          <w:sz w:val="24"/>
          <w:szCs w:val="24"/>
        </w:rPr>
      </w:r>
    </w:p>
    <w:p>
      <w:pPr>
        <w:pStyle w:val="1056"/>
        <w:pBdr/>
        <w:spacing w:after="288" w:before="120" w:line="312" w:lineRule="auto"/>
        <w:ind w:firstLine="567"/>
        <w:jc w:val="center"/>
        <w:rPr>
          <w:sz w:val="24"/>
          <w:szCs w:val="24"/>
        </w:rPr>
      </w:pPr>
      <w:r>
        <w:rPr>
          <w:sz w:val="24"/>
          <w:szCs w:val="24"/>
        </w:rPr>
      </w:r>
      <w:r>
        <w:rPr>
          <w:sz w:val="24"/>
          <w:szCs w:val="24"/>
        </w:rPr>
      </w:r>
    </w:p>
    <w:p>
      <w:pPr>
        <w:pStyle w:val="1056"/>
        <w:pBdr/>
        <w:spacing w:after="288" w:before="120" w:line="312" w:lineRule="auto"/>
        <w:ind w:firstLine="567"/>
        <w:jc w:val="center"/>
        <w:rPr>
          <w:sz w:val="24"/>
          <w:szCs w:val="24"/>
        </w:rPr>
      </w:pPr>
      <w:r>
        <w:rPr>
          <w:sz w:val="24"/>
          <w:szCs w:val="24"/>
        </w:rPr>
        <w:t xml:space="preserve">Representante legal do CONTRATANTE</w:t>
      </w:r>
      <w:r>
        <w:rPr>
          <w:sz w:val="24"/>
          <w:szCs w:val="24"/>
        </w:rPr>
      </w:r>
    </w:p>
    <w:p>
      <w:pPr>
        <w:pStyle w:val="1056"/>
        <w:pBdr/>
        <w:spacing w:after="288" w:before="0"/>
        <w:ind w:firstLine="567"/>
        <w:jc w:val="center"/>
        <w:rPr>
          <w:sz w:val="24"/>
          <w:szCs w:val="24"/>
        </w:rPr>
      </w:pPr>
      <w:r>
        <w:rPr>
          <w:sz w:val="24"/>
          <w:szCs w:val="24"/>
        </w:rPr>
        <w:t xml:space="preserve">Representante legal do CONTRATADO</w:t>
      </w:r>
      <w:r>
        <w:rPr>
          <w:sz w:val="24"/>
          <w:szCs w:val="24"/>
        </w:rPr>
      </w:r>
    </w:p>
    <w:p>
      <w:pPr>
        <w:pStyle w:val="1056"/>
        <w:pBdr/>
        <w:tabs>
          <w:tab w:val="clear" w:leader="none" w:pos="720"/>
          <w:tab w:val="left" w:leader="none" w:pos="9712"/>
        </w:tabs>
        <w:spacing/>
        <w:ind w:right="355"/>
        <w:jc w:val="left"/>
        <w:rPr>
          <w:rFonts w:eastAsia="Arial"/>
          <w:b/>
          <w:color w:val="000000"/>
          <w:sz w:val="24"/>
          <w:szCs w:val="24"/>
          <w:u w:val="single"/>
        </w:rPr>
      </w:pPr>
      <w:r>
        <w:rPr>
          <w:rFonts w:eastAsia="Arial"/>
          <w:b/>
          <w:color w:val="000000"/>
          <w:sz w:val="24"/>
          <w:szCs w:val="24"/>
          <w:u w:val="single"/>
        </w:rPr>
        <w:t xml:space="preserve">TESTEMUNHAS:</w:t>
      </w:r>
      <w:r>
        <w:rPr>
          <w:rFonts w:eastAsia="Arial"/>
          <w:b/>
          <w:color w:val="000000"/>
          <w:sz w:val="24"/>
          <w:szCs w:val="24"/>
          <w:u w:val="single"/>
        </w:rPr>
      </w:r>
    </w:p>
    <w:p>
      <w:pPr>
        <w:pStyle w:val="1056"/>
        <w:pBdr/>
        <w:spacing/>
        <w:ind/>
        <w:jc w:val="left"/>
        <w:rPr>
          <w:sz w:val="24"/>
          <w:szCs w:val="24"/>
        </w:rPr>
      </w:pPr>
      <w:r>
        <w:rPr>
          <w:sz w:val="24"/>
          <w:szCs w:val="24"/>
        </w:rPr>
        <w:t xml:space="preserve">_______________________</w:t>
      </w:r>
      <w:r>
        <w:rPr>
          <w:sz w:val="24"/>
          <w:szCs w:val="24"/>
        </w:rPr>
      </w:r>
    </w:p>
    <w:p>
      <w:pPr>
        <w:pStyle w:val="1056"/>
        <w:pBdr/>
        <w:spacing/>
        <w:ind/>
        <w:jc w:val="left"/>
        <w:rPr>
          <w:sz w:val="24"/>
          <w:szCs w:val="24"/>
        </w:rPr>
      </w:pPr>
      <w:r>
        <w:rPr>
          <w:sz w:val="24"/>
          <w:szCs w:val="24"/>
        </w:rPr>
        <w:t xml:space="preserve">CPF:___________________</w:t>
      </w:r>
      <w:r>
        <w:rPr>
          <w:sz w:val="24"/>
          <w:szCs w:val="24"/>
        </w:rPr>
      </w:r>
    </w:p>
    <w:p>
      <w:pPr>
        <w:pStyle w:val="1056"/>
        <w:pBdr/>
        <w:spacing/>
        <w:ind/>
        <w:jc w:val="left"/>
        <w:rPr>
          <w:sz w:val="24"/>
          <w:szCs w:val="24"/>
        </w:rPr>
      </w:pPr>
      <w:r>
        <w:rPr>
          <w:sz w:val="24"/>
          <w:szCs w:val="24"/>
        </w:rPr>
        <w:t xml:space="preserve">_______________________</w:t>
      </w:r>
      <w:r>
        <w:rPr>
          <w:sz w:val="24"/>
          <w:szCs w:val="24"/>
        </w:rPr>
      </w:r>
    </w:p>
    <w:p>
      <w:pPr>
        <w:pStyle w:val="1056"/>
        <w:widowControl w:val="true"/>
        <w:pBdr/>
        <w:bidi w:val="false"/>
        <w:spacing w:after="120" w:before="120"/>
        <w:ind/>
        <w:jc w:val="both"/>
        <w:rPr/>
      </w:pPr>
      <w:r>
        <w:rPr>
          <w:sz w:val="24"/>
          <w:szCs w:val="24"/>
        </w:rPr>
        <w:t xml:space="preserve">CPF:___________________</w:t>
      </w:r>
      <w:r>
        <w:t xml:space="preserve"> </w:t>
      </w: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6838" w:orient="portrait" w:w="11906"/>
      <w:pgMar w:top="1820" w:right="1131" w:bottom="567" w:left="1250" w:header="567" w:footer="0" w:gutter="0"/>
      <w:pgNumType w:start="76"/>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MT">
    <w:panose1 w:val="020B0604020202020204"/>
  </w:font>
  <w:font w:name="Cambria">
    <w:panose1 w:val="02040503050406030204"/>
  </w:font>
  <w:font w:name="Symbol">
    <w:panose1 w:val="05050102010706020507"/>
  </w:font>
  <w:font w:name="Century Gothic">
    <w:panose1 w:val="020B0502020202020204"/>
  </w:font>
  <w:font w:name="Noto Sans Symbols">
    <w:panose1 w:val="020B0502040504020204"/>
  </w:font>
  <w:font w:name="Wingdings">
    <w:panose1 w:val="05000000000000000000"/>
  </w:font>
  <w:font w:name="Liberation Sans">
    <w:panose1 w:val="020B0604020202020204"/>
  </w:font>
  <w:font w:name="Lucida Sans">
    <w:panose1 w:val="020B0602030504020204"/>
  </w:font>
  <w:font w:name="Consolas">
    <w:panose1 w:val="020B0609020204030204"/>
  </w:font>
  <w:font w:name="SansSerif">
    <w:panose1 w:val="020B0502040504020204"/>
  </w:font>
  <w:font w:name="Ecofont_Spranq_eco_Sans">
    <w:panose1 w:val="05040102010807070707"/>
  </w:font>
  <w:font w:name="Segoe UI">
    <w:panose1 w:val="020B0502040204020203"/>
  </w:font>
  <w:font w:name="Courier New">
    <w:panose1 w:val="02070309020205020404"/>
  </w:font>
  <w:font w:name="Calibri Light">
    <w:panose1 w:val="020F0302020204030204"/>
  </w:font>
  <w:font w:name="Calibri">
    <w:panose1 w:val="020F0502020204030204"/>
  </w:font>
  <w:font w:name="Tahoma">
    <w:panose1 w:val="020B0604030504040204"/>
  </w:font>
  <w:font w:name="Arial Narrow">
    <w:panose1 w:val="020B0606020202030204"/>
  </w:font>
  <w:font w:name="Times New Roman">
    <w:panose1 w:val="02020603050405020304"/>
  </w:font>
  <w:font w:name="Microsoft YaHei">
    <w:panose1 w:val="020B0503020204020204"/>
  </w:font>
  <w:font w:name="NSimSun">
    <w:panose1 w:val="02010609030101010101"/>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56"/>
      <w:pBdr/>
      <w:tabs>
        <w:tab w:val="clear" w:leader="none" w:pos="720"/>
        <w:tab w:val="center" w:leader="none" w:pos="4419"/>
        <w:tab w:val="right" w:leader="none" w:pos="8838"/>
      </w:tabs>
      <w:spacing w:after="120" w:before="120"/>
      <w:ind w:left="-993"/>
      <w:jc w:val="center"/>
      <w:rPr>
        <w:rFonts w:ascii="Calibri" w:hAnsi="Calibri" w:eastAsia="Calibri" w:cs="Calibri"/>
        <w:color w:val="000000"/>
      </w:rPr>
    </w:pPr>
    <w:r>
      <w:rPr>
        <w:rFonts w:ascii="Calibri" w:hAnsi="Calibri" w:eastAsia="Calibri" w:cs="Calibri"/>
        <w:color w:val="000000"/>
      </w:rPr>
      <w:t xml:space="preserve">Rua Cel. Eurico de Castro, nº 14, Centro, Rio das Flores-RJ – Tel.: (24)24581328/Ramal 210 – e-mail: licitacao@riodasflores.rj.gov.br</w:t>
    </w:r>
    <w:r>
      <w:rPr>
        <w:rFonts w:ascii="Calibri" w:hAnsi="Calibri" w:eastAsia="Calibri" w:cs="Calibri"/>
        <w:color w:val="000000"/>
      </w:rPr>
    </w:r>
  </w:p>
  <w:p>
    <w:pPr>
      <w:pStyle w:val="1056"/>
      <w:pBdr/>
      <w:tabs>
        <w:tab w:val="clear" w:leader="none" w:pos="720"/>
        <w:tab w:val="center" w:leader="none" w:pos="4419"/>
        <w:tab w:val="right" w:leader="none" w:pos="8838"/>
      </w:tabs>
      <w:spacing/>
      <w:ind/>
      <w:jc w:val="right"/>
      <w:rPr>
        <w:rFonts w:eastAsia="Arial"/>
        <w:color w:val="000000"/>
        <w:sz w:val="20"/>
        <w:szCs w:val="20"/>
      </w:rPr>
    </w:pPr>
    <w:r>
      <w:rPr>
        <w:rFonts w:eastAsia="Arial"/>
        <w:color w:val="000000"/>
        <w:sz w:val="24"/>
        <w:szCs w:val="24"/>
      </w:rPr>
      <w:tab/>
    </w:r>
    <w:r>
      <w:rPr>
        <w:rFonts w:eastAsia="Arial"/>
        <w:color w:val="000000"/>
        <w:sz w:val="20"/>
        <w:szCs w:val="20"/>
      </w:rPr>
    </w:r>
  </w:p>
  <w:p>
    <w:pPr>
      <w:pStyle w:val="1056"/>
      <w:widowControl w:val="true"/>
      <w:pBdr/>
      <w:bidi w:val="false"/>
      <w:spacing w:after="120" w:before="120"/>
      <w:ind/>
      <w:jc w:val="both"/>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08"/>
      <w:pBdr/>
      <w:spacing w:after="120" w:before="120"/>
      <w:ind/>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56"/>
      <w:pBdr/>
      <w:tabs>
        <w:tab w:val="clear" w:leader="none" w:pos="720"/>
        <w:tab w:val="center" w:leader="none" w:pos="4419"/>
        <w:tab w:val="right" w:leader="none" w:pos="8838"/>
      </w:tabs>
      <w:spacing w:after="120" w:before="120"/>
      <w:ind w:left="-993"/>
      <w:jc w:val="center"/>
      <w:rPr>
        <w:rFonts w:ascii="Calibri" w:hAnsi="Calibri" w:eastAsia="Calibri" w:cs="Calibri"/>
        <w:color w:val="000000"/>
      </w:rPr>
    </w:pPr>
    <w:r>
      <w:rPr>
        <w:rFonts w:ascii="Calibri" w:hAnsi="Calibri" w:eastAsia="Calibri" w:cs="Calibri"/>
        <w:color w:val="000000"/>
      </w:rPr>
      <w:t xml:space="preserve">Rua Cel. Eurico de Castro, nº 14, Centro, Rio das Flores-RJ – Tel.: (24)24581328/Ramal 210 – e-mail: licitacao@riodasflores.rj.gov.br</w:t>
    </w:r>
    <w:r>
      <w:rPr>
        <w:rFonts w:ascii="Calibri" w:hAnsi="Calibri" w:eastAsia="Calibri" w:cs="Calibri"/>
        <w:color w:val="000000"/>
      </w:rPr>
    </w:r>
  </w:p>
  <w:p>
    <w:pPr>
      <w:pStyle w:val="1056"/>
      <w:pBdr/>
      <w:tabs>
        <w:tab w:val="clear" w:leader="none" w:pos="720"/>
        <w:tab w:val="center" w:leader="none" w:pos="4419"/>
        <w:tab w:val="right" w:leader="none" w:pos="8838"/>
      </w:tabs>
      <w:spacing/>
      <w:ind/>
      <w:jc w:val="right"/>
      <w:rPr>
        <w:rFonts w:eastAsia="Arial"/>
        <w:color w:val="000000"/>
        <w:sz w:val="20"/>
        <w:szCs w:val="20"/>
      </w:rPr>
    </w:pPr>
    <w:r>
      <w:rPr>
        <w:rFonts w:eastAsia="Arial"/>
        <w:color w:val="000000"/>
        <w:sz w:val="24"/>
        <w:szCs w:val="24"/>
      </w:rPr>
      <w:tab/>
    </w:r>
    <w:r>
      <w:rPr>
        <w:rFonts w:eastAsia="Arial"/>
        <w:color w:val="000000"/>
        <w:sz w:val="20"/>
        <w:szCs w:val="20"/>
      </w:rPr>
    </w:r>
  </w:p>
  <w:p>
    <w:pPr>
      <w:pStyle w:val="1056"/>
      <w:widowControl w:val="true"/>
      <w:pBdr/>
      <w:bidi w:val="false"/>
      <w:spacing w:after="120" w:before="120"/>
      <w:ind/>
      <w:jc w:val="both"/>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07"/>
      <w:pBdr/>
      <w:spacing w:after="120" w:before="120"/>
      <w:ind/>
      <w:rPr/>
    </w:pPr>
    <w:r>
      <w:rPr>
        <w:rFonts w:ascii="Arial Narrow" w:hAnsi="Arial Narrow"/>
        <w:b/>
        <w:sz w:val="22"/>
        <w:szCs w:val="22"/>
      </w:rPr>
      <mc:AlternateContent>
        <mc:Choice Requires="wpg">
          <w:drawing>
            <wp:anchor xmlns:wp="http://schemas.openxmlformats.org/drawingml/2006/wordprocessingDrawing" xmlns:wp14="http://schemas.microsoft.com/office/word/2010/wordprocessingDrawing" distT="0" distB="0" distL="0" distR="0" simplePos="0" relativeHeight="82" behindDoc="1" locked="0" layoutInCell="0" allowOverlap="1">
              <wp:simplePos x="0" y="0"/>
              <wp:positionH relativeFrom="column">
                <wp:posOffset>-3175</wp:posOffset>
              </wp:positionH>
              <wp:positionV relativeFrom="paragraph">
                <wp:posOffset>-33020</wp:posOffset>
              </wp:positionV>
              <wp:extent cx="2352675" cy="715010"/>
              <wp:effectExtent l="0" t="0" r="0" b="0"/>
              <wp:wrapSquare wrapText="bothSides"/>
              <wp:docPr id="1" name="Figura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Copia 1 Copia 1 Copia 1"/>
                      <pic:cNvPicPr>
                        <a:picLocks noChangeAspect="1"/>
                      </pic:cNvPicPr>
                      <pic:nvPr/>
                    </pic:nvPicPr>
                    <pic:blipFill>
                      <a:blip r:embed="rId1"/>
                      <a:srcRect l="0" t="35402" r="0" b="36316"/>
                      <a:stretch/>
                    </pic:blipFill>
                    <pic:spPr bwMode="auto">
                      <a:xfrm>
                        <a:off x="0" y="0"/>
                        <a:ext cx="2352675" cy="715010"/>
                      </a:xfrm>
                      <a:prstGeom prst="rect">
                        <a:avLst/>
                      </a:prstGeom>
                      <a:noFill/>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82;o:allowoverlap:true;o:allowincell:false;mso-position-horizontal-relative:text;margin-left:-0.25pt;mso-position-horizontal:absolute;mso-position-vertical-relative:text;margin-top:-2.60pt;mso-position-vertical:absolute;width:185.25pt;height:56.30pt;mso-wrap-distance-left:0.00pt;mso-wrap-distance-top:0.00pt;mso-wrap-distance-right:0.00pt;mso-wrap-distance-bottom:0.00pt;z-index:1;" stroked="false">
              <w10:wrap type="square"/>
              <v:imagedata r:id="rId1" o:title="" croptop="23201f" cropleft="0f" cropbottom="23800f" cropright="0f"/>
              <o:lock v:ext="edit" rotation="t"/>
            </v:shape>
          </w:pict>
        </mc:Fallback>
      </mc:AlternateContent>
      <mc:AlternateContent>
        <mc:Choice Requires="wpg">
          <w:drawing>
            <wp:anchor xmlns:wp="http://schemas.openxmlformats.org/drawingml/2006/wordprocessingDrawing" xmlns:wp14="http://schemas.microsoft.com/office/word/2010/wordprocessingDrawing" distT="0" distB="0" distL="0" distR="0" simplePos="0" relativeHeight="163" behindDoc="1" locked="0" layoutInCell="1" allowOverlap="1">
              <wp:simplePos x="0" y="0"/>
              <wp:positionH relativeFrom="column">
                <wp:posOffset>2543175</wp:posOffset>
              </wp:positionH>
              <wp:positionV relativeFrom="paragraph">
                <wp:posOffset>-168275</wp:posOffset>
              </wp:positionV>
              <wp:extent cx="2000250" cy="779780"/>
              <wp:effectExtent l="0" t="0" r="0" b="0"/>
              <wp:wrapNone/>
              <wp:docPr id="2" name="Imagem 18" descr="C:\Users\Usuario\Desktop\LICITAÇÃO CABEÇALH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8" descr="C:\Users\Usuario\Desktop\LICITAÇÃO CABEÇALHO.PNG"/>
                      <pic:cNvPicPr>
                        <a:picLocks noChangeAspect="1"/>
                      </pic:cNvPicPr>
                      <pic:nvPr/>
                    </pic:nvPicPr>
                    <pic:blipFill>
                      <a:blip r:embed="rId2"/>
                      <a:stretch/>
                    </pic:blipFill>
                    <pic:spPr bwMode="auto">
                      <a:xfrm>
                        <a:off x="0" y="0"/>
                        <a:ext cx="2000250" cy="779780"/>
                      </a:xfrm>
                      <a:prstGeom prst="rect">
                        <a:avLst/>
                      </a:prstGeom>
                      <a:noFill/>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163;o:allowoverlap:true;o:allowincell:true;mso-position-horizontal-relative:text;margin-left:200.25pt;mso-position-horizontal:absolute;mso-position-vertical-relative:text;margin-top:-13.25pt;mso-position-vertical:absolute;width:157.50pt;height:61.40pt;mso-wrap-distance-left:0.00pt;mso-wrap-distance-top:0.00pt;mso-wrap-distance-right:0.00pt;mso-wrap-distance-bottom:0.00pt;z-index:1;" stroked="false">
              <v:imagedata r:id="rId2" o:title=""/>
              <o:lock v:ext="edit" rotation="t"/>
            </v:shape>
          </w:pict>
        </mc:Fallback>
      </mc:AlternateContent>
      <w:t xml:space="preserve"> </w:t>
    </w:r>
    <w:r>
      <mc:AlternateContent>
        <mc:Choice Requires="wpg">
          <w:drawing>
            <wp:anchor xmlns:wp="http://schemas.openxmlformats.org/drawingml/2006/wordprocessingDrawing" xmlns:wp14="http://schemas.microsoft.com/office/word/2010/wordprocessingDrawing" distT="0" distB="0" distL="0" distR="0" simplePos="0" relativeHeight="324" behindDoc="1" locked="0" layoutInCell="1" allowOverlap="1">
              <wp:simplePos x="0" y="0"/>
              <wp:positionH relativeFrom="column">
                <wp:posOffset>4605655</wp:posOffset>
              </wp:positionH>
              <wp:positionV relativeFrom="paragraph">
                <wp:posOffset>-227965</wp:posOffset>
              </wp:positionV>
              <wp:extent cx="2637155" cy="367665"/>
              <wp:effectExtent l="0" t="0" r="0" b="0"/>
              <wp:wrapNone/>
              <wp:docPr id="3" name="Quadro2"/>
              <wp:cNvGraphicFramePr/>
              <a:graphic xmlns:a="http://schemas.openxmlformats.org/drawingml/2006/main">
                <a:graphicData uri="http://schemas.microsoft.com/office/word/2010/wordprocessingShape">
                  <wps:wsp>
                    <wps:cNvPr id="0" name=""/>
                    <wps:cNvSpPr/>
                    <wps:spPr bwMode="auto">
                      <a:xfrm>
                        <a:off x="0" y="0"/>
                        <a:ext cx="2637000" cy="367560"/>
                      </a:xfrm>
                      <a:prstGeom prst="rect">
                        <a:avLst/>
                      </a:prstGeom>
                      <a:solidFill>
                        <a:srgbClr val="FFFFFF"/>
                      </a:solidFill>
                      <a:ln w="0">
                        <a:noFill/>
                      </a:ln>
                    </wps:spPr>
                    <wps:style>
                      <a:lnRef idx="0"/>
                      <a:fillRef idx="0"/>
                      <a:effectRef idx="0"/>
                      <a:fontRef idx="minor"/>
                    </wps:style>
                    <wps:txbx>
                      <w:txbxContent>
                        <w:p>
                          <w:pPr>
                            <w:pStyle w:val="1225"/>
                            <w:pBdr/>
                            <w:spacing w:after="120" w:before="120"/>
                            <w:ind w:right="-548" w:left="-142"/>
                            <w:rPr>
                              <w:rFonts w:ascii="Arial Narrow" w:hAnsi="Arial Narrow"/>
                              <w:b/>
                              <w:sz w:val="22"/>
                              <w:szCs w:val="22"/>
                              <w:lang w:val="en-US"/>
                            </w:rPr>
                          </w:pPr>
                          <w:r>
                            <w:rPr>
                              <w:rFonts w:ascii="Arial Narrow" w:hAnsi="Arial Narrow"/>
                              <w:b/>
                              <w:color w:val="000000"/>
                              <w:sz w:val="22"/>
                              <w:szCs w:val="22"/>
                              <w:lang w:val="en-US"/>
                            </w:rPr>
                            <w:t xml:space="preserve">PMRF/RJ-PROC.Nº  </w:t>
                          </w:r>
                          <w:r>
                            <w:rPr>
                              <w:rFonts w:ascii="Arial Narrow" w:hAnsi="Arial Narrow"/>
                              <w:b/>
                              <w:color w:val="000000"/>
                              <w:sz w:val="22"/>
                              <w:szCs w:val="22"/>
                              <w:lang w:val="pt-BR"/>
                            </w:rPr>
                            <w:t xml:space="preserve">7190</w:t>
                          </w:r>
                          <w:r>
                            <w:rPr>
                              <w:rFonts w:ascii="Arial Narrow" w:hAnsi="Arial Narrow"/>
                              <w:b/>
                              <w:color w:val="000000"/>
                              <w:sz w:val="22"/>
                              <w:szCs w:val="22"/>
                              <w:lang w:val="en-US"/>
                            </w:rPr>
                            <w:t xml:space="preserve">/2025</w:t>
                          </w:r>
                          <w:r>
                            <w:rPr>
                              <w:rFonts w:ascii="Arial Narrow" w:hAnsi="Arial Narrow"/>
                              <w:b/>
                              <w:sz w:val="22"/>
                              <w:szCs w:val="22"/>
                              <w:lang w:val="en-US"/>
                            </w:rPr>
                          </w:r>
                        </w:p>
                      </w:txbxContent>
                    </wps:txbx>
                    <wps:bodyPr anchor="t">
                      <a:noAutofit/>
                    </wps:bodyPr>
                  </wps:wsp>
                </a:graphicData>
              </a:graphic>
            </wp:anchor>
          </w:drawing>
        </mc:Choice>
        <mc:Fallback>
          <w:pict>
            <v:shape id="shape 2" o:spid="_x0000_s2" o:spt="1" type="#_x0000_t1" style="position:absolute;z-index:-324;o:allowoverlap:true;o:allowincell:true;mso-position-horizontal-relative:text;margin-left:362.65pt;mso-position-horizontal:absolute;mso-position-vertical-relative:text;margin-top:-17.95pt;mso-position-vertical:absolute;width:207.65pt;height:28.95pt;mso-wrap-distance-left:0.00pt;mso-wrap-distance-top:0.00pt;mso-wrap-distance-right:0.00pt;mso-wrap-distance-bottom:0.00pt;v-text-anchor:top;visibility:visible;" fillcolor="#FFFFFF" stroked="f" strokeweight="0.00pt">
              <v:textbox inset="0,0,0,0">
                <w:txbxContent>
                  <w:p>
                    <w:pPr>
                      <w:pStyle w:val="1225"/>
                      <w:pBdr/>
                      <w:spacing w:after="120" w:before="120"/>
                      <w:ind w:right="-548" w:left="-142"/>
                      <w:rPr>
                        <w:rFonts w:ascii="Arial Narrow" w:hAnsi="Arial Narrow"/>
                        <w:b/>
                        <w:sz w:val="22"/>
                        <w:szCs w:val="22"/>
                        <w:lang w:val="en-US"/>
                      </w:rPr>
                    </w:pPr>
                    <w:r>
                      <w:rPr>
                        <w:rFonts w:ascii="Arial Narrow" w:hAnsi="Arial Narrow"/>
                        <w:b/>
                        <w:color w:val="000000"/>
                        <w:sz w:val="22"/>
                        <w:szCs w:val="22"/>
                        <w:lang w:val="en-US"/>
                      </w:rPr>
                      <w:t xml:space="preserve">PMRF/RJ-PROC.Nº  </w:t>
                    </w:r>
                    <w:r>
                      <w:rPr>
                        <w:rFonts w:ascii="Arial Narrow" w:hAnsi="Arial Narrow"/>
                        <w:b/>
                        <w:color w:val="000000"/>
                        <w:sz w:val="22"/>
                        <w:szCs w:val="22"/>
                        <w:lang w:val="pt-BR"/>
                      </w:rPr>
                      <w:t xml:space="preserve">7190</w:t>
                    </w:r>
                    <w:r>
                      <w:rPr>
                        <w:rFonts w:ascii="Arial Narrow" w:hAnsi="Arial Narrow"/>
                        <w:b/>
                        <w:color w:val="000000"/>
                        <w:sz w:val="22"/>
                        <w:szCs w:val="22"/>
                        <w:lang w:val="en-US"/>
                      </w:rPr>
                      <w:t xml:space="preserve">/2025</w:t>
                    </w:r>
                    <w:r>
                      <w:rPr>
                        <w:rFonts w:ascii="Arial Narrow" w:hAnsi="Arial Narrow"/>
                        <w:b/>
                        <w:sz w:val="22"/>
                        <w:szCs w:val="22"/>
                        <w:lang w:val="en-US"/>
                      </w:rPr>
                    </w:r>
                  </w:p>
                </w:txbxContent>
              </v:textbox>
            </v:shape>
          </w:pict>
        </mc:Fallback>
      </mc:AlternateContent>
      <mc:AlternateContent>
        <mc:Choice Requires="wpg">
          <w:drawing>
            <wp:anchor xmlns:wp="http://schemas.openxmlformats.org/drawingml/2006/wordprocessingDrawing" xmlns:wp14="http://schemas.microsoft.com/office/word/2010/wordprocessingDrawing" distT="0" distB="0" distL="0" distR="0" simplePos="0" relativeHeight="488" behindDoc="1" locked="0" layoutInCell="0" allowOverlap="1">
              <wp:simplePos x="0" y="0"/>
              <wp:positionH relativeFrom="page">
                <wp:posOffset>5522595</wp:posOffset>
              </wp:positionH>
              <wp:positionV relativeFrom="paragraph">
                <wp:posOffset>49530</wp:posOffset>
              </wp:positionV>
              <wp:extent cx="2035810" cy="332740"/>
              <wp:effectExtent l="0" t="0" r="0" b="0"/>
              <wp:wrapNone/>
              <wp:docPr id="4" name="Quadro3"/>
              <wp:cNvGraphicFramePr/>
              <a:graphic xmlns:a="http://schemas.openxmlformats.org/drawingml/2006/main">
                <a:graphicData uri="http://schemas.microsoft.com/office/word/2010/wordprocessingShape">
                  <wps:wsp>
                    <wps:cNvPr id="0" name=""/>
                    <wps:cNvSpPr/>
                    <wps:spPr bwMode="auto">
                      <a:xfrm>
                        <a:off x="0" y="0"/>
                        <a:ext cx="2035800" cy="332640"/>
                      </a:xfrm>
                      <a:prstGeom prst="rect">
                        <a:avLst/>
                      </a:prstGeom>
                      <a:solidFill>
                        <a:srgbClr val="FFFFFF"/>
                      </a:solidFill>
                      <a:ln w="0">
                        <a:noFill/>
                      </a:ln>
                    </wps:spPr>
                    <wps:style>
                      <a:lnRef idx="0"/>
                      <a:fillRef idx="0"/>
                      <a:effectRef idx="0"/>
                      <a:fontRef idx="minor"/>
                    </wps:style>
                    <wps:txbx>
                      <w:txbxContent>
                        <w:p>
                          <w:pPr>
                            <w:pStyle w:val="1225"/>
                            <w:pBdr/>
                            <w:spacing w:after="120" w:before="120"/>
                            <w:ind/>
                            <w:rPr>
                              <w:sz w:val="22"/>
                              <w:szCs w:val="22"/>
                            </w:rPr>
                          </w:pPr>
                          <w:r>
                            <w:rPr>
                              <w:rFonts w:ascii="Arial Narrow" w:hAnsi="Arial Narrow"/>
                              <w:b/>
                              <w:color w:val="000000"/>
                              <w:sz w:val="22"/>
                              <w:szCs w:val="22"/>
                              <w:lang w:val="en-US"/>
                            </w:rPr>
                            <w:t xml:space="preserve">FLS.Nº    </w:t>
                          </w:r>
                          <w:r>
                            <w:rPr>
                              <w:sz w:val="22"/>
                              <w:szCs w:val="22"/>
                            </w:rPr>
                          </w:r>
                        </w:p>
                      </w:txbxContent>
                    </wps:txbx>
                    <wps:bodyPr anchor="t">
                      <a:noAutofit/>
                    </wps:bodyPr>
                  </wps:wsp>
                </a:graphicData>
              </a:graphic>
            </wp:anchor>
          </w:drawing>
        </mc:Choice>
        <mc:Fallback>
          <w:pict>
            <v:shape id="shape 3" o:spid="_x0000_s3" o:spt="1" type="#_x0000_t1" style="position:absolute;z-index:-488;o:allowoverlap:true;o:allowincell:false;mso-position-horizontal-relative:page;margin-left:434.85pt;mso-position-horizontal:absolute;mso-position-vertical-relative:text;margin-top:3.90pt;mso-position-vertical:absolute;width:160.30pt;height:26.20pt;mso-wrap-distance-left:0.00pt;mso-wrap-distance-top:0.00pt;mso-wrap-distance-right:0.00pt;mso-wrap-distance-bottom:0.00pt;v-text-anchor:top;visibility:visible;" fillcolor="#FFFFFF" stroked="f" strokeweight="0.00pt">
              <v:textbox inset="0,0,0,0">
                <w:txbxContent>
                  <w:p>
                    <w:pPr>
                      <w:pStyle w:val="1225"/>
                      <w:pBdr/>
                      <w:spacing w:after="120" w:before="120"/>
                      <w:ind/>
                      <w:rPr>
                        <w:sz w:val="22"/>
                        <w:szCs w:val="22"/>
                      </w:rPr>
                    </w:pPr>
                    <w:r>
                      <w:rPr>
                        <w:rFonts w:ascii="Arial Narrow" w:hAnsi="Arial Narrow"/>
                        <w:b/>
                        <w:color w:val="000000"/>
                        <w:sz w:val="22"/>
                        <w:szCs w:val="22"/>
                        <w:lang w:val="en-US"/>
                      </w:rPr>
                      <w:t xml:space="preserve">FLS.Nº    </w:t>
                    </w:r>
                    <w:r>
                      <w:rPr>
                        <w:sz w:val="22"/>
                        <w:szCs w:val="22"/>
                      </w:rPr>
                    </w:r>
                  </w:p>
                </w:txbxContent>
              </v:textbox>
            </v:shape>
          </w:pict>
        </mc:Fallback>
      </mc:AlternateContent>
      <mc:AlternateContent>
        <mc:Choice Requires="wpg">
          <w:drawing>
            <wp:anchor xmlns:wp="http://schemas.openxmlformats.org/drawingml/2006/wordprocessingDrawing" xmlns:wp14="http://schemas.microsoft.com/office/word/2010/wordprocessingDrawing" distT="0" distB="0" distL="0" distR="0" simplePos="0" relativeHeight="812" behindDoc="1" locked="0" layoutInCell="0" allowOverlap="1">
              <wp:simplePos x="0" y="0"/>
              <wp:positionH relativeFrom="page">
                <wp:posOffset>6061710</wp:posOffset>
              </wp:positionH>
              <wp:positionV relativeFrom="topMargin">
                <wp:posOffset>448310</wp:posOffset>
              </wp:positionV>
              <wp:extent cx="762000" cy="285750"/>
              <wp:effectExtent l="0" t="0" r="0" b="0"/>
              <wp:wrapNone/>
              <wp:docPr id="5" name="Quadro1"/>
              <wp:cNvGraphicFramePr/>
              <a:graphic xmlns:a="http://schemas.openxmlformats.org/drawingml/2006/main">
                <a:graphicData uri="http://schemas.microsoft.com/office/word/2010/wordprocessingShape">
                  <wps:wsp>
                    <wps:cNvPr id="0" name=""/>
                    <wps:cNvSpPr/>
                    <wps:spPr bwMode="auto">
                      <a:xfrm>
                        <a:off x="0" y="0"/>
                        <a:ext cx="762120" cy="285840"/>
                      </a:xfrm>
                      <a:prstGeom prst="rect">
                        <a:avLst/>
                      </a:prstGeom>
                      <a:noFill/>
                      <a:ln w="0">
                        <a:noFill/>
                      </a:ln>
                    </wps:spPr>
                    <wps:style>
                      <a:lnRef idx="0"/>
                      <a:fillRef idx="0"/>
                      <a:effectRef idx="0"/>
                      <a:fontRef idx="minor"/>
                    </wps:style>
                    <wps:txbx>
                      <w:txbxContent>
                        <w:p>
                          <w:pPr>
                            <w:pStyle w:val="1225"/>
                            <w:pBdr/>
                            <w:spacing w:after="120" w:before="120"/>
                            <w:ind/>
                            <w:rPr>
                              <w:b/>
                              <w:sz w:val="24"/>
                              <w:szCs w:val="24"/>
                            </w:rPr>
                          </w:pPr>
                          <w:r>
                            <w:rPr>
                              <w:b/>
                              <w:sz w:val="24"/>
                              <w:szCs w:val="24"/>
                            </w:rPr>
                          </w:r>
                          <w:r>
                            <w:rPr>
                              <w:b/>
                              <w:sz w:val="24"/>
                              <w:szCs w:val="24"/>
                            </w:rPr>
                          </w:r>
                        </w:p>
                      </w:txbxContent>
                    </wps:txbx>
                    <wps:bodyPr tIns="0" bIns="0" anchor="t">
                      <a:noAutofit/>
                    </wps:bodyPr>
                  </wps:wsp>
                </a:graphicData>
              </a:graphic>
            </wp:anchor>
          </w:drawing>
        </mc:Choice>
        <mc:Fallback>
          <w:pict>
            <v:shape id="shape 4" o:spid="_x0000_s4" o:spt="1" type="#_x0000_t1" style="position:absolute;z-index:-812;o:allowoverlap:true;o:allowincell:false;mso-position-horizontal-relative:page;margin-left:477.30pt;mso-position-horizontal:absolute;mso-position-vertical-relative:top-margin-area;margin-top:35.30pt;mso-position-vertical:absolute;width:60.00pt;height:22.50pt;mso-wrap-distance-left:0.00pt;mso-wrap-distance-top:0.00pt;mso-wrap-distance-right:0.00pt;mso-wrap-distance-bottom:0.00pt;v-text-anchor:top;visibility:visible;" filled="f" stroked="f" strokeweight="0.00pt">
              <v:textbox inset="0,0,0,0">
                <w:txbxContent>
                  <w:p>
                    <w:pPr>
                      <w:pStyle w:val="1225"/>
                      <w:pBdr/>
                      <w:spacing w:after="120" w:before="120"/>
                      <w:ind/>
                      <w:rPr>
                        <w:b/>
                        <w:sz w:val="24"/>
                        <w:szCs w:val="24"/>
                      </w:rPr>
                    </w:pPr>
                    <w:r>
                      <w:rPr>
                        <w:b/>
                        <w:sz w:val="24"/>
                        <w:szCs w:val="24"/>
                      </w:rPr>
                    </w:r>
                    <w:r>
                      <w:rPr>
                        <w:b/>
                        <w:sz w:val="24"/>
                        <w:szCs w:val="24"/>
                      </w:rPr>
                    </w:r>
                  </w:p>
                </w:txbxContent>
              </v:textbox>
            </v:shape>
          </w:pict>
        </mc:Fallback>
      </mc:AlternateContent>
    </w:r>
    <w:r>
      <w:t xml:space="preserve">  </w:t>
    </w:r>
    <w:r/>
  </w:p>
  <w:p>
    <w:pPr>
      <w:pStyle w:val="1207"/>
      <w:pBdr/>
      <w:spacing/>
      <w:ind/>
      <w:rPr/>
    </w:pPr>
    <w:r>
      <mc:AlternateContent>
        <mc:Choice Requires="wpg">
          <w:drawing>
            <wp:anchor xmlns:wp="http://schemas.openxmlformats.org/drawingml/2006/wordprocessingDrawing" xmlns:wp14="http://schemas.microsoft.com/office/word/2010/wordprocessingDrawing" distT="0" distB="0" distL="0" distR="0" simplePos="0" relativeHeight="650" behindDoc="1" locked="0" layoutInCell="1" allowOverlap="1">
              <wp:simplePos x="0" y="0"/>
              <wp:positionH relativeFrom="column">
                <wp:posOffset>4620260</wp:posOffset>
              </wp:positionH>
              <wp:positionV relativeFrom="paragraph">
                <wp:posOffset>6985</wp:posOffset>
              </wp:positionV>
              <wp:extent cx="2228850" cy="371475"/>
              <wp:effectExtent l="0" t="0" r="0" b="0"/>
              <wp:wrapNone/>
              <wp:docPr id="6" name="Quadro4"/>
              <wp:cNvGraphicFramePr/>
              <a:graphic xmlns:a="http://schemas.openxmlformats.org/drawingml/2006/main">
                <a:graphicData uri="http://schemas.microsoft.com/office/word/2010/wordprocessingShape">
                  <wps:wsp>
                    <wps:cNvPr id="0" name=""/>
                    <wps:cNvSpPr/>
                    <wps:spPr bwMode="auto">
                      <a:xfrm>
                        <a:off x="0" y="0"/>
                        <a:ext cx="2228760" cy="371520"/>
                      </a:xfrm>
                      <a:prstGeom prst="rect">
                        <a:avLst/>
                      </a:prstGeom>
                      <a:solidFill>
                        <a:srgbClr val="FFFFFF"/>
                      </a:solidFill>
                      <a:ln w="0">
                        <a:noFill/>
                      </a:ln>
                    </wps:spPr>
                    <wps:style>
                      <a:lnRef idx="0"/>
                      <a:fillRef idx="0"/>
                      <a:effectRef idx="0"/>
                      <a:fontRef idx="minor"/>
                    </wps:style>
                    <wps:txbx>
                      <w:txbxContent>
                        <w:p>
                          <w:pPr>
                            <w:pStyle w:val="1225"/>
                            <w:pBdr/>
                            <w:spacing w:after="120" w:before="120"/>
                            <w:ind w:right="-548" w:left="-142"/>
                            <w:rPr>
                              <w:rFonts w:ascii="Arial Narrow" w:hAnsi="Arial Narrow"/>
                              <w:b/>
                              <w:sz w:val="22"/>
                              <w:szCs w:val="22"/>
                              <w:lang w:val="en-US"/>
                            </w:rPr>
                          </w:pPr>
                          <w:r>
                            <w:rPr>
                              <w:rFonts w:ascii="Arial Narrow" w:hAnsi="Arial Narrow"/>
                              <w:b/>
                              <w:color w:val="000000"/>
                              <w:sz w:val="22"/>
                              <w:szCs w:val="22"/>
                              <w:lang w:val="en-US"/>
                            </w:rPr>
                            <w:t xml:space="preserve">RUBRICA</w:t>
                          </w:r>
                          <w:r>
                            <w:rPr>
                              <w:rFonts w:ascii="Arial Narrow" w:hAnsi="Arial Narrow"/>
                              <w:b/>
                              <w:sz w:val="22"/>
                              <w:szCs w:val="22"/>
                              <w:lang w:val="en-US"/>
                            </w:rPr>
                          </w:r>
                        </w:p>
                        <w:p>
                          <w:pPr>
                            <w:pStyle w:val="1225"/>
                            <w:pBdr/>
                            <w:spacing w:after="120" w:before="120"/>
                            <w:ind/>
                            <w:rPr>
                              <w:color w:val="000000"/>
                            </w:rPr>
                          </w:pPr>
                          <w:r>
                            <w:rPr>
                              <w:color w:val="000000"/>
                            </w:rPr>
                          </w:r>
                          <w:r>
                            <w:rPr>
                              <w:color w:val="000000"/>
                            </w:rPr>
                          </w:r>
                        </w:p>
                      </w:txbxContent>
                    </wps:txbx>
                    <wps:bodyPr anchor="t">
                      <a:noAutofit/>
                    </wps:bodyPr>
                  </wps:wsp>
                </a:graphicData>
              </a:graphic>
            </wp:anchor>
          </w:drawing>
        </mc:Choice>
        <mc:Fallback>
          <w:pict>
            <v:shape id="shape 5" o:spid="_x0000_s5" o:spt="1" type="#_x0000_t1" style="position:absolute;z-index:-650;o:allowoverlap:true;o:allowincell:true;mso-position-horizontal-relative:text;margin-left:363.80pt;mso-position-horizontal:absolute;mso-position-vertical-relative:text;margin-top:0.55pt;mso-position-vertical:absolute;width:175.50pt;height:29.25pt;mso-wrap-distance-left:0.00pt;mso-wrap-distance-top:0.00pt;mso-wrap-distance-right:0.00pt;mso-wrap-distance-bottom:0.00pt;v-text-anchor:top;visibility:visible;" fillcolor="#FFFFFF" stroked="f" strokeweight="0.00pt">
              <v:textbox inset="0,0,0,0">
                <w:txbxContent>
                  <w:p>
                    <w:pPr>
                      <w:pStyle w:val="1225"/>
                      <w:pBdr/>
                      <w:spacing w:after="120" w:before="120"/>
                      <w:ind w:right="-548" w:left="-142"/>
                      <w:rPr>
                        <w:rFonts w:ascii="Arial Narrow" w:hAnsi="Arial Narrow"/>
                        <w:b/>
                        <w:sz w:val="22"/>
                        <w:szCs w:val="22"/>
                        <w:lang w:val="en-US"/>
                      </w:rPr>
                    </w:pPr>
                    <w:r>
                      <w:rPr>
                        <w:rFonts w:ascii="Arial Narrow" w:hAnsi="Arial Narrow"/>
                        <w:b/>
                        <w:color w:val="000000"/>
                        <w:sz w:val="22"/>
                        <w:szCs w:val="22"/>
                        <w:lang w:val="en-US"/>
                      </w:rPr>
                      <w:t xml:space="preserve">RUBRICA</w:t>
                    </w:r>
                    <w:r>
                      <w:rPr>
                        <w:rFonts w:ascii="Arial Narrow" w:hAnsi="Arial Narrow"/>
                        <w:b/>
                        <w:sz w:val="22"/>
                        <w:szCs w:val="22"/>
                        <w:lang w:val="en-US"/>
                      </w:rPr>
                    </w:r>
                  </w:p>
                  <w:p>
                    <w:pPr>
                      <w:pStyle w:val="1225"/>
                      <w:pBdr/>
                      <w:spacing w:after="120" w:before="120"/>
                      <w:ind/>
                      <w:rPr>
                        <w:color w:val="000000"/>
                      </w:rPr>
                    </w:pPr>
                    <w:r>
                      <w:rPr>
                        <w:color w:val="000000"/>
                      </w:rPr>
                    </w:r>
                    <w:r>
                      <w:rPr>
                        <w:color w:val="000000"/>
                      </w:rPr>
                    </w:r>
                  </w:p>
                </w:txbxContent>
              </v:textbox>
            </v:shape>
          </w:pict>
        </mc:Fallback>
      </mc:AlternateContent>
    </w:r>
    <w:r/>
  </w:p>
  <w:p>
    <w:pPr>
      <w:pStyle w:val="1207"/>
      <w:pBdr/>
      <w:spacing w:after="120" w:before="120"/>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07"/>
      <w:pBdr/>
      <w:spacing w:after="120" w:before="120"/>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07"/>
      <w:pBdr/>
      <w:spacing w:after="120" w:before="120"/>
      <w:ind/>
      <w:rPr/>
    </w:pPr>
    <w:r>
      <w:rPr>
        <w:rFonts w:ascii="Arial Narrow" w:hAnsi="Arial Narrow"/>
        <w:b/>
        <w:sz w:val="22"/>
        <w:szCs w:val="22"/>
      </w:rPr>
      <mc:AlternateContent>
        <mc:Choice Requires="wpg">
          <w:drawing>
            <wp:anchor xmlns:wp="http://schemas.openxmlformats.org/drawingml/2006/wordprocessingDrawing" xmlns:wp14="http://schemas.microsoft.com/office/word/2010/wordprocessingDrawing" distT="0" distB="0" distL="0" distR="0" simplePos="0" relativeHeight="82" behindDoc="1" locked="0" layoutInCell="0" allowOverlap="1">
              <wp:simplePos x="0" y="0"/>
              <wp:positionH relativeFrom="column">
                <wp:posOffset>-3175</wp:posOffset>
              </wp:positionH>
              <wp:positionV relativeFrom="paragraph">
                <wp:posOffset>-33020</wp:posOffset>
              </wp:positionV>
              <wp:extent cx="2352675" cy="715010"/>
              <wp:effectExtent l="0" t="0" r="0" b="0"/>
              <wp:wrapSquare wrapText="bothSides"/>
              <wp:docPr id="7" name="Figura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a1 Copia 1 Copia 1 Copia 1"/>
                      <pic:cNvPicPr>
                        <a:picLocks noChangeAspect="1"/>
                      </pic:cNvPicPr>
                      <pic:nvPr/>
                    </pic:nvPicPr>
                    <pic:blipFill>
                      <a:blip r:embed="rId1"/>
                      <a:srcRect l="0" t="35402" r="0" b="36316"/>
                      <a:stretch/>
                    </pic:blipFill>
                    <pic:spPr bwMode="auto">
                      <a:xfrm>
                        <a:off x="0" y="0"/>
                        <a:ext cx="2352675" cy="715010"/>
                      </a:xfrm>
                      <a:prstGeom prst="rect">
                        <a:avLst/>
                      </a:prstGeom>
                      <a:noFill/>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 o:spid="_x0000_s6" type="#_x0000_t75" style="position:absolute;z-index:-82;o:allowoverlap:true;o:allowincell:false;mso-position-horizontal-relative:text;margin-left:-0.25pt;mso-position-horizontal:absolute;mso-position-vertical-relative:text;margin-top:-2.60pt;mso-position-vertical:absolute;width:185.25pt;height:56.30pt;mso-wrap-distance-left:0.00pt;mso-wrap-distance-top:0.00pt;mso-wrap-distance-right:0.00pt;mso-wrap-distance-bottom:0.00pt;z-index:1;" stroked="false">
              <w10:wrap type="square"/>
              <v:imagedata r:id="rId1" o:title="" croptop="23201f" cropleft="0f" cropbottom="23800f" cropright="0f"/>
              <o:lock v:ext="edit" rotation="t"/>
            </v:shape>
          </w:pict>
        </mc:Fallback>
      </mc:AlternateContent>
      <mc:AlternateContent>
        <mc:Choice Requires="wpg">
          <w:drawing>
            <wp:anchor xmlns:wp="http://schemas.openxmlformats.org/drawingml/2006/wordprocessingDrawing" xmlns:wp14="http://schemas.microsoft.com/office/word/2010/wordprocessingDrawing" distT="0" distB="0" distL="0" distR="0" simplePos="0" relativeHeight="163" behindDoc="1" locked="0" layoutInCell="1" allowOverlap="1">
              <wp:simplePos x="0" y="0"/>
              <wp:positionH relativeFrom="column">
                <wp:posOffset>2543175</wp:posOffset>
              </wp:positionH>
              <wp:positionV relativeFrom="paragraph">
                <wp:posOffset>-168275</wp:posOffset>
              </wp:positionV>
              <wp:extent cx="2000250" cy="779780"/>
              <wp:effectExtent l="0" t="0" r="0" b="0"/>
              <wp:wrapNone/>
              <wp:docPr id="8" name="Imagem 18" descr="C:\Users\Usuario\Desktop\LICITAÇÃO CABEÇALH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18" descr="C:\Users\Usuario\Desktop\LICITAÇÃO CABEÇALHO.PNG"/>
                      <pic:cNvPicPr>
                        <a:picLocks noChangeAspect="1"/>
                      </pic:cNvPicPr>
                      <pic:nvPr/>
                    </pic:nvPicPr>
                    <pic:blipFill>
                      <a:blip r:embed="rId2"/>
                      <a:stretch/>
                    </pic:blipFill>
                    <pic:spPr bwMode="auto">
                      <a:xfrm>
                        <a:off x="0" y="0"/>
                        <a:ext cx="2000250" cy="779780"/>
                      </a:xfrm>
                      <a:prstGeom prst="rect">
                        <a:avLst/>
                      </a:prstGeom>
                      <a:noFill/>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 o:spid="_x0000_s7" type="#_x0000_t75" style="position:absolute;z-index:-163;o:allowoverlap:true;o:allowincell:true;mso-position-horizontal-relative:text;margin-left:200.25pt;mso-position-horizontal:absolute;mso-position-vertical-relative:text;margin-top:-13.25pt;mso-position-vertical:absolute;width:157.50pt;height:61.40pt;mso-wrap-distance-left:0.00pt;mso-wrap-distance-top:0.00pt;mso-wrap-distance-right:0.00pt;mso-wrap-distance-bottom:0.00pt;z-index:1;" stroked="false">
              <v:imagedata r:id="rId2" o:title=""/>
              <o:lock v:ext="edit" rotation="t"/>
            </v:shape>
          </w:pict>
        </mc:Fallback>
      </mc:AlternateContent>
      <w:t xml:space="preserve"> </w:t>
    </w:r>
    <w:r>
      <mc:AlternateContent>
        <mc:Choice Requires="wpg">
          <w:drawing>
            <wp:anchor xmlns:wp="http://schemas.openxmlformats.org/drawingml/2006/wordprocessingDrawing" xmlns:wp14="http://schemas.microsoft.com/office/word/2010/wordprocessingDrawing" distT="0" distB="0" distL="0" distR="0" simplePos="0" relativeHeight="324" behindDoc="1" locked="0" layoutInCell="1" allowOverlap="1">
              <wp:simplePos x="0" y="0"/>
              <wp:positionH relativeFrom="column">
                <wp:posOffset>4605655</wp:posOffset>
              </wp:positionH>
              <wp:positionV relativeFrom="paragraph">
                <wp:posOffset>-227965</wp:posOffset>
              </wp:positionV>
              <wp:extent cx="2637155" cy="367665"/>
              <wp:effectExtent l="0" t="0" r="0" b="0"/>
              <wp:wrapNone/>
              <wp:docPr id="9" name="Quadro2"/>
              <wp:cNvGraphicFramePr/>
              <a:graphic xmlns:a="http://schemas.openxmlformats.org/drawingml/2006/main">
                <a:graphicData uri="http://schemas.microsoft.com/office/word/2010/wordprocessingShape">
                  <wps:wsp>
                    <wps:cNvPr id="0" name=""/>
                    <wps:cNvSpPr/>
                    <wps:spPr bwMode="auto">
                      <a:xfrm>
                        <a:off x="0" y="0"/>
                        <a:ext cx="2637000" cy="367560"/>
                      </a:xfrm>
                      <a:prstGeom prst="rect">
                        <a:avLst/>
                      </a:prstGeom>
                      <a:solidFill>
                        <a:srgbClr val="FFFFFF"/>
                      </a:solidFill>
                      <a:ln w="0">
                        <a:noFill/>
                      </a:ln>
                    </wps:spPr>
                    <wps:style>
                      <a:lnRef idx="0"/>
                      <a:fillRef idx="0"/>
                      <a:effectRef idx="0"/>
                      <a:fontRef idx="minor"/>
                    </wps:style>
                    <wps:txbx>
                      <w:txbxContent>
                        <w:p>
                          <w:pPr>
                            <w:pStyle w:val="1225"/>
                            <w:pBdr/>
                            <w:spacing w:after="120" w:before="120"/>
                            <w:ind w:right="-548" w:left="-142"/>
                            <w:rPr>
                              <w:rFonts w:ascii="Arial Narrow" w:hAnsi="Arial Narrow"/>
                              <w:b/>
                              <w:sz w:val="22"/>
                              <w:szCs w:val="22"/>
                              <w:lang w:val="en-US"/>
                            </w:rPr>
                          </w:pPr>
                          <w:r>
                            <w:rPr>
                              <w:rFonts w:ascii="Arial Narrow" w:hAnsi="Arial Narrow"/>
                              <w:b/>
                              <w:color w:val="000000"/>
                              <w:sz w:val="22"/>
                              <w:szCs w:val="22"/>
                              <w:lang w:val="en-US"/>
                            </w:rPr>
                            <w:t xml:space="preserve">PMRF/RJ-PROC.Nº  </w:t>
                          </w:r>
                          <w:r>
                            <w:rPr>
                              <w:rFonts w:ascii="Arial Narrow" w:hAnsi="Arial Narrow"/>
                              <w:b/>
                              <w:color w:val="000000"/>
                              <w:sz w:val="22"/>
                              <w:szCs w:val="22"/>
                              <w:lang w:val="pt-BR"/>
                            </w:rPr>
                            <w:t xml:space="preserve">7190</w:t>
                          </w:r>
                          <w:r>
                            <w:rPr>
                              <w:rFonts w:ascii="Arial Narrow" w:hAnsi="Arial Narrow"/>
                              <w:b/>
                              <w:color w:val="000000"/>
                              <w:sz w:val="22"/>
                              <w:szCs w:val="22"/>
                              <w:lang w:val="en-US"/>
                            </w:rPr>
                            <w:t xml:space="preserve">/2025</w:t>
                          </w:r>
                          <w:r>
                            <w:rPr>
                              <w:rFonts w:ascii="Arial Narrow" w:hAnsi="Arial Narrow"/>
                              <w:b/>
                              <w:sz w:val="22"/>
                              <w:szCs w:val="22"/>
                              <w:lang w:val="en-US"/>
                            </w:rPr>
                          </w:r>
                        </w:p>
                      </w:txbxContent>
                    </wps:txbx>
                    <wps:bodyPr anchor="t">
                      <a:noAutofit/>
                    </wps:bodyPr>
                  </wps:wsp>
                </a:graphicData>
              </a:graphic>
            </wp:anchor>
          </w:drawing>
        </mc:Choice>
        <mc:Fallback>
          <w:pict>
            <v:shape id="shape 8" o:spid="_x0000_s8" o:spt="1" type="#_x0000_t1" style="position:absolute;z-index:-324;o:allowoverlap:true;o:allowincell:true;mso-position-horizontal-relative:text;margin-left:362.65pt;mso-position-horizontal:absolute;mso-position-vertical-relative:text;margin-top:-17.95pt;mso-position-vertical:absolute;width:207.65pt;height:28.95pt;mso-wrap-distance-left:0.00pt;mso-wrap-distance-top:0.00pt;mso-wrap-distance-right:0.00pt;mso-wrap-distance-bottom:0.00pt;v-text-anchor:top;visibility:visible;" fillcolor="#FFFFFF" stroked="f" strokeweight="0.00pt">
              <v:textbox inset="0,0,0,0">
                <w:txbxContent>
                  <w:p>
                    <w:pPr>
                      <w:pStyle w:val="1225"/>
                      <w:pBdr/>
                      <w:spacing w:after="120" w:before="120"/>
                      <w:ind w:right="-548" w:left="-142"/>
                      <w:rPr>
                        <w:rFonts w:ascii="Arial Narrow" w:hAnsi="Arial Narrow"/>
                        <w:b/>
                        <w:sz w:val="22"/>
                        <w:szCs w:val="22"/>
                        <w:lang w:val="en-US"/>
                      </w:rPr>
                    </w:pPr>
                    <w:r>
                      <w:rPr>
                        <w:rFonts w:ascii="Arial Narrow" w:hAnsi="Arial Narrow"/>
                        <w:b/>
                        <w:color w:val="000000"/>
                        <w:sz w:val="22"/>
                        <w:szCs w:val="22"/>
                        <w:lang w:val="en-US"/>
                      </w:rPr>
                      <w:t xml:space="preserve">PMRF/RJ-PROC.Nº  </w:t>
                    </w:r>
                    <w:r>
                      <w:rPr>
                        <w:rFonts w:ascii="Arial Narrow" w:hAnsi="Arial Narrow"/>
                        <w:b/>
                        <w:color w:val="000000"/>
                        <w:sz w:val="22"/>
                        <w:szCs w:val="22"/>
                        <w:lang w:val="pt-BR"/>
                      </w:rPr>
                      <w:t xml:space="preserve">7190</w:t>
                    </w:r>
                    <w:r>
                      <w:rPr>
                        <w:rFonts w:ascii="Arial Narrow" w:hAnsi="Arial Narrow"/>
                        <w:b/>
                        <w:color w:val="000000"/>
                        <w:sz w:val="22"/>
                        <w:szCs w:val="22"/>
                        <w:lang w:val="en-US"/>
                      </w:rPr>
                      <w:t xml:space="preserve">/2025</w:t>
                    </w:r>
                    <w:r>
                      <w:rPr>
                        <w:rFonts w:ascii="Arial Narrow" w:hAnsi="Arial Narrow"/>
                        <w:b/>
                        <w:sz w:val="22"/>
                        <w:szCs w:val="22"/>
                        <w:lang w:val="en-US"/>
                      </w:rPr>
                    </w:r>
                  </w:p>
                </w:txbxContent>
              </v:textbox>
            </v:shape>
          </w:pict>
        </mc:Fallback>
      </mc:AlternateContent>
      <mc:AlternateContent>
        <mc:Choice Requires="wpg">
          <w:drawing>
            <wp:anchor xmlns:wp="http://schemas.openxmlformats.org/drawingml/2006/wordprocessingDrawing" xmlns:wp14="http://schemas.microsoft.com/office/word/2010/wordprocessingDrawing" distT="0" distB="0" distL="0" distR="0" simplePos="0" relativeHeight="488" behindDoc="1" locked="0" layoutInCell="0" allowOverlap="1">
              <wp:simplePos x="0" y="0"/>
              <wp:positionH relativeFrom="page">
                <wp:posOffset>5522595</wp:posOffset>
              </wp:positionH>
              <wp:positionV relativeFrom="paragraph">
                <wp:posOffset>49530</wp:posOffset>
              </wp:positionV>
              <wp:extent cx="2035810" cy="332740"/>
              <wp:effectExtent l="0" t="0" r="0" b="0"/>
              <wp:wrapNone/>
              <wp:docPr id="10" name="Quadro3"/>
              <wp:cNvGraphicFramePr/>
              <a:graphic xmlns:a="http://schemas.openxmlformats.org/drawingml/2006/main">
                <a:graphicData uri="http://schemas.microsoft.com/office/word/2010/wordprocessingShape">
                  <wps:wsp>
                    <wps:cNvPr id="0" name=""/>
                    <wps:cNvSpPr/>
                    <wps:spPr bwMode="auto">
                      <a:xfrm>
                        <a:off x="0" y="0"/>
                        <a:ext cx="2035800" cy="332640"/>
                      </a:xfrm>
                      <a:prstGeom prst="rect">
                        <a:avLst/>
                      </a:prstGeom>
                      <a:solidFill>
                        <a:srgbClr val="FFFFFF"/>
                      </a:solidFill>
                      <a:ln w="0">
                        <a:noFill/>
                      </a:ln>
                    </wps:spPr>
                    <wps:style>
                      <a:lnRef idx="0"/>
                      <a:fillRef idx="0"/>
                      <a:effectRef idx="0"/>
                      <a:fontRef idx="minor"/>
                    </wps:style>
                    <wps:txbx>
                      <w:txbxContent>
                        <w:p>
                          <w:pPr>
                            <w:pStyle w:val="1225"/>
                            <w:pBdr/>
                            <w:spacing w:after="120" w:before="120"/>
                            <w:ind/>
                            <w:rPr>
                              <w:sz w:val="22"/>
                              <w:szCs w:val="22"/>
                            </w:rPr>
                          </w:pPr>
                          <w:r>
                            <w:rPr>
                              <w:rFonts w:ascii="Arial Narrow" w:hAnsi="Arial Narrow"/>
                              <w:b/>
                              <w:color w:val="000000"/>
                              <w:sz w:val="22"/>
                              <w:szCs w:val="22"/>
                              <w:lang w:val="en-US"/>
                            </w:rPr>
                            <w:t xml:space="preserve">FLS.Nº    </w:t>
                          </w:r>
                          <w:r>
                            <w:rPr>
                              <w:sz w:val="22"/>
                              <w:szCs w:val="22"/>
                            </w:rPr>
                          </w:r>
                        </w:p>
                      </w:txbxContent>
                    </wps:txbx>
                    <wps:bodyPr anchor="t">
                      <a:noAutofit/>
                    </wps:bodyPr>
                  </wps:wsp>
                </a:graphicData>
              </a:graphic>
            </wp:anchor>
          </w:drawing>
        </mc:Choice>
        <mc:Fallback>
          <w:pict>
            <v:shape id="shape 9" o:spid="_x0000_s9" o:spt="1" type="#_x0000_t1" style="position:absolute;z-index:-488;o:allowoverlap:true;o:allowincell:false;mso-position-horizontal-relative:page;margin-left:434.85pt;mso-position-horizontal:absolute;mso-position-vertical-relative:text;margin-top:3.90pt;mso-position-vertical:absolute;width:160.30pt;height:26.20pt;mso-wrap-distance-left:0.00pt;mso-wrap-distance-top:0.00pt;mso-wrap-distance-right:0.00pt;mso-wrap-distance-bottom:0.00pt;v-text-anchor:top;visibility:visible;" fillcolor="#FFFFFF" stroked="f" strokeweight="0.00pt">
              <v:textbox inset="0,0,0,0">
                <w:txbxContent>
                  <w:p>
                    <w:pPr>
                      <w:pStyle w:val="1225"/>
                      <w:pBdr/>
                      <w:spacing w:after="120" w:before="120"/>
                      <w:ind/>
                      <w:rPr>
                        <w:sz w:val="22"/>
                        <w:szCs w:val="22"/>
                      </w:rPr>
                    </w:pPr>
                    <w:r>
                      <w:rPr>
                        <w:rFonts w:ascii="Arial Narrow" w:hAnsi="Arial Narrow"/>
                        <w:b/>
                        <w:color w:val="000000"/>
                        <w:sz w:val="22"/>
                        <w:szCs w:val="22"/>
                        <w:lang w:val="en-US"/>
                      </w:rPr>
                      <w:t xml:space="preserve">FLS.Nº    </w:t>
                    </w:r>
                    <w:r>
                      <w:rPr>
                        <w:sz w:val="22"/>
                        <w:szCs w:val="22"/>
                      </w:rPr>
                    </w:r>
                  </w:p>
                </w:txbxContent>
              </v:textbox>
            </v:shape>
          </w:pict>
        </mc:Fallback>
      </mc:AlternateContent>
      <mc:AlternateContent>
        <mc:Choice Requires="wpg">
          <w:drawing>
            <wp:anchor xmlns:wp="http://schemas.openxmlformats.org/drawingml/2006/wordprocessingDrawing" xmlns:wp14="http://schemas.microsoft.com/office/word/2010/wordprocessingDrawing" distT="0" distB="0" distL="0" distR="0" simplePos="0" relativeHeight="812" behindDoc="1" locked="0" layoutInCell="0" allowOverlap="1">
              <wp:simplePos x="0" y="0"/>
              <wp:positionH relativeFrom="page">
                <wp:posOffset>6061710</wp:posOffset>
              </wp:positionH>
              <wp:positionV relativeFrom="topMargin">
                <wp:posOffset>448310</wp:posOffset>
              </wp:positionV>
              <wp:extent cx="762000" cy="285750"/>
              <wp:effectExtent l="0" t="0" r="0" b="0"/>
              <wp:wrapNone/>
              <wp:docPr id="11" name="Quadro1"/>
              <wp:cNvGraphicFramePr/>
              <a:graphic xmlns:a="http://schemas.openxmlformats.org/drawingml/2006/main">
                <a:graphicData uri="http://schemas.microsoft.com/office/word/2010/wordprocessingShape">
                  <wps:wsp>
                    <wps:cNvPr id="0" name=""/>
                    <wps:cNvSpPr/>
                    <wps:spPr bwMode="auto">
                      <a:xfrm>
                        <a:off x="0" y="0"/>
                        <a:ext cx="762120" cy="285840"/>
                      </a:xfrm>
                      <a:prstGeom prst="rect">
                        <a:avLst/>
                      </a:prstGeom>
                      <a:noFill/>
                      <a:ln w="0">
                        <a:noFill/>
                      </a:ln>
                    </wps:spPr>
                    <wps:style>
                      <a:lnRef idx="0"/>
                      <a:fillRef idx="0"/>
                      <a:effectRef idx="0"/>
                      <a:fontRef idx="minor"/>
                    </wps:style>
                    <wps:txbx>
                      <w:txbxContent>
                        <w:p>
                          <w:pPr>
                            <w:pStyle w:val="1225"/>
                            <w:pBdr/>
                            <w:spacing w:after="120" w:before="120"/>
                            <w:ind/>
                            <w:rPr>
                              <w:b/>
                              <w:sz w:val="24"/>
                              <w:szCs w:val="24"/>
                            </w:rPr>
                          </w:pPr>
                          <w:r>
                            <w:rPr>
                              <w:b/>
                              <w:sz w:val="24"/>
                              <w:szCs w:val="24"/>
                            </w:rPr>
                          </w:r>
                          <w:r>
                            <w:rPr>
                              <w:b/>
                              <w:sz w:val="24"/>
                              <w:szCs w:val="24"/>
                            </w:rPr>
                          </w:r>
                        </w:p>
                      </w:txbxContent>
                    </wps:txbx>
                    <wps:bodyPr tIns="0" bIns="0" anchor="t">
                      <a:noAutofit/>
                    </wps:bodyPr>
                  </wps:wsp>
                </a:graphicData>
              </a:graphic>
            </wp:anchor>
          </w:drawing>
        </mc:Choice>
        <mc:Fallback>
          <w:pict>
            <v:shape id="shape 10" o:spid="_x0000_s10" o:spt="1" type="#_x0000_t1" style="position:absolute;z-index:-812;o:allowoverlap:true;o:allowincell:false;mso-position-horizontal-relative:page;margin-left:477.30pt;mso-position-horizontal:absolute;mso-position-vertical-relative:top-margin-area;margin-top:35.30pt;mso-position-vertical:absolute;width:60.00pt;height:22.50pt;mso-wrap-distance-left:0.00pt;mso-wrap-distance-top:0.00pt;mso-wrap-distance-right:0.00pt;mso-wrap-distance-bottom:0.00pt;v-text-anchor:top;visibility:visible;" filled="f" stroked="f" strokeweight="0.00pt">
              <v:textbox inset="0,0,0,0">
                <w:txbxContent>
                  <w:p>
                    <w:pPr>
                      <w:pStyle w:val="1225"/>
                      <w:pBdr/>
                      <w:spacing w:after="120" w:before="120"/>
                      <w:ind/>
                      <w:rPr>
                        <w:b/>
                        <w:sz w:val="24"/>
                        <w:szCs w:val="24"/>
                      </w:rPr>
                    </w:pPr>
                    <w:r>
                      <w:rPr>
                        <w:b/>
                        <w:sz w:val="24"/>
                        <w:szCs w:val="24"/>
                      </w:rPr>
                    </w:r>
                    <w:r>
                      <w:rPr>
                        <w:b/>
                        <w:sz w:val="24"/>
                        <w:szCs w:val="24"/>
                      </w:rPr>
                    </w:r>
                  </w:p>
                </w:txbxContent>
              </v:textbox>
            </v:shape>
          </w:pict>
        </mc:Fallback>
      </mc:AlternateContent>
    </w:r>
    <w:r>
      <w:t xml:space="preserve">  </w:t>
    </w:r>
    <w:r/>
  </w:p>
  <w:p>
    <w:pPr>
      <w:pStyle w:val="1207"/>
      <w:pBdr/>
      <w:spacing/>
      <w:ind/>
      <w:rPr/>
    </w:pPr>
    <w:r>
      <mc:AlternateContent>
        <mc:Choice Requires="wpg">
          <w:drawing>
            <wp:anchor xmlns:wp="http://schemas.openxmlformats.org/drawingml/2006/wordprocessingDrawing" xmlns:wp14="http://schemas.microsoft.com/office/word/2010/wordprocessingDrawing" distT="0" distB="0" distL="0" distR="0" simplePos="0" relativeHeight="650" behindDoc="1" locked="0" layoutInCell="1" allowOverlap="1">
              <wp:simplePos x="0" y="0"/>
              <wp:positionH relativeFrom="column">
                <wp:posOffset>4620260</wp:posOffset>
              </wp:positionH>
              <wp:positionV relativeFrom="paragraph">
                <wp:posOffset>6985</wp:posOffset>
              </wp:positionV>
              <wp:extent cx="2228850" cy="371475"/>
              <wp:effectExtent l="0" t="0" r="0" b="0"/>
              <wp:wrapNone/>
              <wp:docPr id="12" name="Quadro4"/>
              <wp:cNvGraphicFramePr/>
              <a:graphic xmlns:a="http://schemas.openxmlformats.org/drawingml/2006/main">
                <a:graphicData uri="http://schemas.microsoft.com/office/word/2010/wordprocessingShape">
                  <wps:wsp>
                    <wps:cNvPr id="0" name=""/>
                    <wps:cNvSpPr/>
                    <wps:spPr bwMode="auto">
                      <a:xfrm>
                        <a:off x="0" y="0"/>
                        <a:ext cx="2228760" cy="371520"/>
                      </a:xfrm>
                      <a:prstGeom prst="rect">
                        <a:avLst/>
                      </a:prstGeom>
                      <a:solidFill>
                        <a:srgbClr val="FFFFFF"/>
                      </a:solidFill>
                      <a:ln w="0">
                        <a:noFill/>
                      </a:ln>
                    </wps:spPr>
                    <wps:style>
                      <a:lnRef idx="0"/>
                      <a:fillRef idx="0"/>
                      <a:effectRef idx="0"/>
                      <a:fontRef idx="minor"/>
                    </wps:style>
                    <wps:txbx>
                      <w:txbxContent>
                        <w:p>
                          <w:pPr>
                            <w:pStyle w:val="1225"/>
                            <w:pBdr/>
                            <w:spacing w:after="120" w:before="120"/>
                            <w:ind w:right="-548" w:left="-142"/>
                            <w:rPr>
                              <w:rFonts w:ascii="Arial Narrow" w:hAnsi="Arial Narrow"/>
                              <w:b/>
                              <w:sz w:val="22"/>
                              <w:szCs w:val="22"/>
                              <w:lang w:val="en-US"/>
                            </w:rPr>
                          </w:pPr>
                          <w:r>
                            <w:rPr>
                              <w:rFonts w:ascii="Arial Narrow" w:hAnsi="Arial Narrow"/>
                              <w:b/>
                              <w:color w:val="000000"/>
                              <w:sz w:val="22"/>
                              <w:szCs w:val="22"/>
                              <w:lang w:val="en-US"/>
                            </w:rPr>
                            <w:t xml:space="preserve">RUBRICA</w:t>
                          </w:r>
                          <w:r>
                            <w:rPr>
                              <w:rFonts w:ascii="Arial Narrow" w:hAnsi="Arial Narrow"/>
                              <w:b/>
                              <w:sz w:val="22"/>
                              <w:szCs w:val="22"/>
                              <w:lang w:val="en-US"/>
                            </w:rPr>
                          </w:r>
                        </w:p>
                        <w:p>
                          <w:pPr>
                            <w:pStyle w:val="1225"/>
                            <w:pBdr/>
                            <w:spacing w:after="120" w:before="120"/>
                            <w:ind/>
                            <w:rPr>
                              <w:color w:val="000000"/>
                            </w:rPr>
                          </w:pPr>
                          <w:r>
                            <w:rPr>
                              <w:color w:val="000000"/>
                            </w:rPr>
                          </w:r>
                          <w:r>
                            <w:rPr>
                              <w:color w:val="000000"/>
                            </w:rPr>
                          </w:r>
                        </w:p>
                      </w:txbxContent>
                    </wps:txbx>
                    <wps:bodyPr anchor="t">
                      <a:noAutofit/>
                    </wps:bodyPr>
                  </wps:wsp>
                </a:graphicData>
              </a:graphic>
            </wp:anchor>
          </w:drawing>
        </mc:Choice>
        <mc:Fallback>
          <w:pict>
            <v:shape id="shape 11" o:spid="_x0000_s11" o:spt="1" type="#_x0000_t1" style="position:absolute;z-index:-650;o:allowoverlap:true;o:allowincell:true;mso-position-horizontal-relative:text;margin-left:363.80pt;mso-position-horizontal:absolute;mso-position-vertical-relative:text;margin-top:0.55pt;mso-position-vertical:absolute;width:175.50pt;height:29.25pt;mso-wrap-distance-left:0.00pt;mso-wrap-distance-top:0.00pt;mso-wrap-distance-right:0.00pt;mso-wrap-distance-bottom:0.00pt;v-text-anchor:top;visibility:visible;" fillcolor="#FFFFFF" stroked="f" strokeweight="0.00pt">
              <v:textbox inset="0,0,0,0">
                <w:txbxContent>
                  <w:p>
                    <w:pPr>
                      <w:pStyle w:val="1225"/>
                      <w:pBdr/>
                      <w:spacing w:after="120" w:before="120"/>
                      <w:ind w:right="-548" w:left="-142"/>
                      <w:rPr>
                        <w:rFonts w:ascii="Arial Narrow" w:hAnsi="Arial Narrow"/>
                        <w:b/>
                        <w:sz w:val="22"/>
                        <w:szCs w:val="22"/>
                        <w:lang w:val="en-US"/>
                      </w:rPr>
                    </w:pPr>
                    <w:r>
                      <w:rPr>
                        <w:rFonts w:ascii="Arial Narrow" w:hAnsi="Arial Narrow"/>
                        <w:b/>
                        <w:color w:val="000000"/>
                        <w:sz w:val="22"/>
                        <w:szCs w:val="22"/>
                        <w:lang w:val="en-US"/>
                      </w:rPr>
                      <w:t xml:space="preserve">RUBRICA</w:t>
                    </w:r>
                    <w:r>
                      <w:rPr>
                        <w:rFonts w:ascii="Arial Narrow" w:hAnsi="Arial Narrow"/>
                        <w:b/>
                        <w:sz w:val="22"/>
                        <w:szCs w:val="22"/>
                        <w:lang w:val="en-US"/>
                      </w:rPr>
                    </w:r>
                  </w:p>
                  <w:p>
                    <w:pPr>
                      <w:pStyle w:val="1225"/>
                      <w:pBdr/>
                      <w:spacing w:after="120" w:before="120"/>
                      <w:ind/>
                      <w:rPr>
                        <w:color w:val="000000"/>
                      </w:rPr>
                    </w:pPr>
                    <w:r>
                      <w:rPr>
                        <w:color w:val="000000"/>
                      </w:rPr>
                    </w:r>
                    <w:r>
                      <w:rPr>
                        <w:color w:val="000000"/>
                      </w:rPr>
                    </w:r>
                  </w:p>
                </w:txbxContent>
              </v:textbox>
            </v:shape>
          </w:pict>
        </mc:Fallback>
      </mc:AlternateContent>
    </w:r>
    <w:r/>
  </w:p>
  <w:p>
    <w:pPr>
      <w:pStyle w:val="1207"/>
      <w:pBdr/>
      <w:spacing w:after="120" w:before="120"/>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true"/>
      <w:lvlJc w:val="left"/>
      <w:lvlText w:val="%1-"/>
      <w:numFmt w:val="decimal"/>
      <w:pPr>
        <w:pBdr/>
        <w:tabs>
          <w:tab w:val="num" w:leader="none" w:pos="0"/>
        </w:tabs>
        <w:spacing/>
        <w:ind w:hanging="359" w:left="644"/>
      </w:pPr>
      <w:rPr>
        <w:b/>
      </w:rPr>
      <w:start w:val="1"/>
      <w:suff w:val="tab"/>
    </w:lvl>
    <w:lvl w:ilvl="1">
      <w:isLgl w:val="true"/>
      <w:lvlJc w:val="left"/>
      <w:lvlText w:val="%2."/>
      <w:numFmt w:val="lowerLetter"/>
      <w:pPr>
        <w:pBdr/>
        <w:tabs>
          <w:tab w:val="num" w:leader="none" w:pos="0"/>
        </w:tabs>
        <w:spacing/>
        <w:ind w:hanging="360" w:left="1647"/>
      </w:pPr>
      <w:rPr/>
      <w:start w:val="1"/>
      <w:suff w:val="tab"/>
    </w:lvl>
    <w:lvl w:ilvl="2">
      <w:isLgl w:val="true"/>
      <w:lvlJc w:val="right"/>
      <w:lvlText w:val="%3."/>
      <w:numFmt w:val="lowerRoman"/>
      <w:pPr>
        <w:pBdr/>
        <w:tabs>
          <w:tab w:val="num" w:leader="none" w:pos="0"/>
        </w:tabs>
        <w:spacing/>
        <w:ind w:hanging="180" w:left="2367"/>
      </w:pPr>
      <w:rPr>
        <w:b/>
      </w:rPr>
      <w:start w:val="1"/>
      <w:suff w:val="tab"/>
    </w:lvl>
    <w:lvl w:ilvl="3">
      <w:isLgl w:val="true"/>
      <w:lvlJc w:val="left"/>
      <w:lvlText w:val="%4."/>
      <w:numFmt w:val="decimal"/>
      <w:pPr>
        <w:pBdr/>
        <w:tabs>
          <w:tab w:val="num" w:leader="none" w:pos="0"/>
        </w:tabs>
        <w:spacing/>
        <w:ind w:hanging="360" w:left="3087"/>
      </w:pPr>
      <w:pStyle w:val="1235"/>
      <w:rPr/>
      <w:start w:val="1"/>
      <w:suff w:val="tab"/>
    </w:lvl>
    <w:lvl w:ilvl="4">
      <w:isLgl w:val="true"/>
      <w:lvlJc w:val="left"/>
      <w:lvlText w:val="%5."/>
      <w:numFmt w:val="lowerLetter"/>
      <w:pPr>
        <w:pBdr/>
        <w:tabs>
          <w:tab w:val="num" w:leader="none" w:pos="0"/>
        </w:tabs>
        <w:spacing/>
        <w:ind w:hanging="360" w:left="3807"/>
      </w:pPr>
      <w:rPr/>
      <w:start w:val="1"/>
      <w:suff w:val="tab"/>
    </w:lvl>
    <w:lvl w:ilvl="5">
      <w:isLgl w:val="true"/>
      <w:lvlJc w:val="right"/>
      <w:lvlText w:val="%6."/>
      <w:numFmt w:val="lowerRoman"/>
      <w:pPr>
        <w:pBdr/>
        <w:tabs>
          <w:tab w:val="num" w:leader="none" w:pos="0"/>
        </w:tabs>
        <w:spacing/>
        <w:ind w:hanging="180" w:left="4527"/>
      </w:pPr>
      <w:rPr/>
      <w:start w:val="1"/>
      <w:suff w:val="tab"/>
    </w:lvl>
    <w:lvl w:ilvl="6">
      <w:isLgl w:val="true"/>
      <w:lvlJc w:val="left"/>
      <w:lvlText w:val="%7."/>
      <w:numFmt w:val="decimal"/>
      <w:pPr>
        <w:pBdr/>
        <w:tabs>
          <w:tab w:val="num" w:leader="none" w:pos="0"/>
        </w:tabs>
        <w:spacing/>
        <w:ind w:hanging="360" w:left="5247"/>
      </w:pPr>
      <w:rPr/>
      <w:start w:val="1"/>
      <w:suff w:val="tab"/>
    </w:lvl>
    <w:lvl w:ilvl="7">
      <w:isLgl w:val="true"/>
      <w:lvlJc w:val="left"/>
      <w:lvlText w:val="%8."/>
      <w:numFmt w:val="lowerLetter"/>
      <w:pPr>
        <w:pBdr/>
        <w:tabs>
          <w:tab w:val="num" w:leader="none" w:pos="0"/>
        </w:tabs>
        <w:spacing/>
        <w:ind w:hanging="360" w:left="5967"/>
      </w:pPr>
      <w:rPr/>
      <w:start w:val="1"/>
      <w:suff w:val="tab"/>
    </w:lvl>
    <w:lvl w:ilvl="8">
      <w:isLgl w:val="true"/>
      <w:lvlJc w:val="right"/>
      <w:lvlText w:val="%9."/>
      <w:numFmt w:val="lowerRoman"/>
      <w:pPr>
        <w:pBdr/>
        <w:tabs>
          <w:tab w:val="num" w:leader="none" w:pos="0"/>
        </w:tabs>
        <w:spacing/>
        <w:ind w:hanging="180" w:left="6687"/>
      </w:pPr>
      <w:rPr/>
      <w:start w:val="1"/>
      <w:suff w:val="tab"/>
    </w:lvl>
  </w:abstractNum>
  <w:abstractNum w:abstractNumId="1">
    <w:lvl w:ilvl="0">
      <w:isLgl w:val="true"/>
      <w:lvlJc w:val="left"/>
      <w:lvlText w:val="%1."/>
      <w:numFmt w:val="upperRoman"/>
      <w:pPr>
        <w:pBdr/>
        <w:tabs>
          <w:tab w:val="num" w:leader="none" w:pos="0"/>
        </w:tabs>
        <w:spacing/>
        <w:ind w:hanging="720" w:left="578"/>
      </w:pPr>
      <w:pStyle w:val="1220"/>
      <w:rPr/>
      <w:start w:val="1"/>
      <w:suff w:val="tab"/>
    </w:lvl>
    <w:lvl w:ilvl="1">
      <w:isLgl w:val="true"/>
      <w:lvlJc w:val="left"/>
      <w:lvlText w:val="%2."/>
      <w:numFmt w:val="lowerLetter"/>
      <w:pPr>
        <w:pBdr/>
        <w:tabs>
          <w:tab w:val="num" w:leader="none" w:pos="0"/>
        </w:tabs>
        <w:spacing/>
        <w:ind w:hanging="360" w:left="938"/>
      </w:pPr>
      <w:rPr/>
      <w:start w:val="1"/>
      <w:suff w:val="tab"/>
    </w:lvl>
    <w:lvl w:ilvl="2">
      <w:isLgl w:val="true"/>
      <w:lvlJc w:val="right"/>
      <w:lvlText w:val="%3."/>
      <w:numFmt w:val="lowerRoman"/>
      <w:pPr>
        <w:pBdr/>
        <w:tabs>
          <w:tab w:val="num" w:leader="none" w:pos="0"/>
        </w:tabs>
        <w:spacing/>
        <w:ind w:hanging="180" w:left="1658"/>
      </w:pPr>
      <w:rPr/>
      <w:start w:val="1"/>
      <w:suff w:val="tab"/>
    </w:lvl>
    <w:lvl w:ilvl="3">
      <w:isLgl w:val="true"/>
      <w:lvlJc w:val="left"/>
      <w:lvlText w:val="%4."/>
      <w:numFmt w:val="decimal"/>
      <w:pPr>
        <w:pBdr/>
        <w:tabs>
          <w:tab w:val="num" w:leader="none" w:pos="0"/>
        </w:tabs>
        <w:spacing/>
        <w:ind w:hanging="360" w:left="2378"/>
      </w:pPr>
      <w:rPr/>
      <w:start w:val="1"/>
      <w:suff w:val="tab"/>
    </w:lvl>
    <w:lvl w:ilvl="4">
      <w:isLgl w:val="true"/>
      <w:lvlJc w:val="left"/>
      <w:lvlText w:val="%5."/>
      <w:numFmt w:val="lowerLetter"/>
      <w:pPr>
        <w:pBdr/>
        <w:tabs>
          <w:tab w:val="num" w:leader="none" w:pos="0"/>
        </w:tabs>
        <w:spacing/>
        <w:ind w:hanging="360" w:left="3098"/>
      </w:pPr>
      <w:rPr/>
      <w:start w:val="1"/>
      <w:suff w:val="tab"/>
    </w:lvl>
    <w:lvl w:ilvl="5">
      <w:isLgl w:val="true"/>
      <w:lvlJc w:val="right"/>
      <w:lvlText w:val="%6."/>
      <w:numFmt w:val="lowerRoman"/>
      <w:pPr>
        <w:pBdr/>
        <w:tabs>
          <w:tab w:val="num" w:leader="none" w:pos="0"/>
        </w:tabs>
        <w:spacing/>
        <w:ind w:hanging="180" w:left="3818"/>
      </w:pPr>
      <w:rPr/>
      <w:start w:val="1"/>
      <w:suff w:val="tab"/>
    </w:lvl>
    <w:lvl w:ilvl="6">
      <w:isLgl w:val="true"/>
      <w:lvlJc w:val="left"/>
      <w:lvlText w:val="%7."/>
      <w:numFmt w:val="decimal"/>
      <w:pPr>
        <w:pBdr/>
        <w:tabs>
          <w:tab w:val="num" w:leader="none" w:pos="0"/>
        </w:tabs>
        <w:spacing/>
        <w:ind w:hanging="360" w:left="4538"/>
      </w:pPr>
      <w:rPr/>
      <w:start w:val="1"/>
      <w:suff w:val="tab"/>
    </w:lvl>
    <w:lvl w:ilvl="7">
      <w:isLgl w:val="true"/>
      <w:lvlJc w:val="left"/>
      <w:lvlText w:val="%8."/>
      <w:numFmt w:val="lowerLetter"/>
      <w:pPr>
        <w:pBdr/>
        <w:tabs>
          <w:tab w:val="num" w:leader="none" w:pos="0"/>
        </w:tabs>
        <w:spacing/>
        <w:ind w:hanging="360" w:left="5258"/>
      </w:pPr>
      <w:rPr/>
      <w:start w:val="1"/>
      <w:suff w:val="tab"/>
    </w:lvl>
    <w:lvl w:ilvl="8">
      <w:isLgl w:val="true"/>
      <w:lvlJc w:val="right"/>
      <w:lvlText w:val="%9."/>
      <w:numFmt w:val="lowerRoman"/>
      <w:pPr>
        <w:pBdr/>
        <w:tabs>
          <w:tab w:val="num" w:leader="none" w:pos="0"/>
        </w:tabs>
        <w:spacing/>
        <w:ind w:hanging="180" w:left="5978"/>
      </w:pPr>
      <w:rPr/>
      <w:start w:val="1"/>
      <w:suff w:val="tab"/>
    </w:lvl>
  </w:abstractNum>
  <w:abstractNum w:abstractNumId="2">
    <w:lvl w:ilvl="0">
      <w:isLgl w:val="true"/>
      <w:lvlJc w:val="left"/>
      <w:lvlText w:val="%1)"/>
      <w:numFmt w:val="lowerLetter"/>
      <w:pPr>
        <w:pBdr/>
        <w:tabs>
          <w:tab w:val="num" w:leader="none" w:pos="0"/>
        </w:tabs>
        <w:spacing/>
        <w:ind w:hanging="360" w:left="1436"/>
      </w:pPr>
      <w:rPr/>
      <w:start w:val="1"/>
      <w:suff w:val="tab"/>
    </w:lvl>
    <w:lvl w:ilvl="1">
      <w:isLgl w:val="true"/>
      <w:lvlJc w:val="left"/>
      <w:lvlText w:val="%2."/>
      <w:numFmt w:val="lowerLetter"/>
      <w:pPr>
        <w:pBdr/>
        <w:tabs>
          <w:tab w:val="num" w:leader="none" w:pos="0"/>
        </w:tabs>
        <w:spacing/>
        <w:ind w:hanging="360" w:left="2156"/>
      </w:pPr>
      <w:rPr/>
      <w:start w:val="1"/>
      <w:suff w:val="tab"/>
    </w:lvl>
    <w:lvl w:ilvl="2">
      <w:isLgl w:val="true"/>
      <w:lvlJc w:val="right"/>
      <w:lvlText w:val="%3."/>
      <w:numFmt w:val="lowerRoman"/>
      <w:pPr>
        <w:pBdr/>
        <w:tabs>
          <w:tab w:val="num" w:leader="none" w:pos="0"/>
        </w:tabs>
        <w:spacing/>
        <w:ind w:hanging="180" w:left="2876"/>
      </w:pPr>
      <w:rPr/>
      <w:start w:val="1"/>
      <w:suff w:val="tab"/>
    </w:lvl>
    <w:lvl w:ilvl="3">
      <w:isLgl w:val="true"/>
      <w:lvlJc w:val="left"/>
      <w:lvlText w:val="%4."/>
      <w:numFmt w:val="decimal"/>
      <w:pPr>
        <w:pBdr/>
        <w:tabs>
          <w:tab w:val="num" w:leader="none" w:pos="0"/>
        </w:tabs>
        <w:spacing/>
        <w:ind w:hanging="360" w:left="3596"/>
      </w:pPr>
      <w:rPr/>
      <w:start w:val="1"/>
      <w:suff w:val="tab"/>
    </w:lvl>
    <w:lvl w:ilvl="4">
      <w:isLgl w:val="true"/>
      <w:lvlJc w:val="left"/>
      <w:lvlText w:val="%5."/>
      <w:numFmt w:val="lowerLetter"/>
      <w:pPr>
        <w:pBdr/>
        <w:tabs>
          <w:tab w:val="num" w:leader="none" w:pos="0"/>
        </w:tabs>
        <w:spacing/>
        <w:ind w:hanging="360" w:left="4316"/>
      </w:pPr>
      <w:rPr/>
      <w:start w:val="1"/>
      <w:suff w:val="tab"/>
    </w:lvl>
    <w:lvl w:ilvl="5">
      <w:isLgl w:val="true"/>
      <w:lvlJc w:val="right"/>
      <w:lvlText w:val="%6."/>
      <w:numFmt w:val="lowerRoman"/>
      <w:pPr>
        <w:pBdr/>
        <w:tabs>
          <w:tab w:val="num" w:leader="none" w:pos="0"/>
        </w:tabs>
        <w:spacing/>
        <w:ind w:hanging="180" w:left="5036"/>
      </w:pPr>
      <w:rPr/>
      <w:start w:val="1"/>
      <w:suff w:val="tab"/>
    </w:lvl>
    <w:lvl w:ilvl="6">
      <w:isLgl w:val="true"/>
      <w:lvlJc w:val="left"/>
      <w:lvlText w:val="%7."/>
      <w:numFmt w:val="decimal"/>
      <w:pPr>
        <w:pBdr/>
        <w:tabs>
          <w:tab w:val="num" w:leader="none" w:pos="0"/>
        </w:tabs>
        <w:spacing/>
        <w:ind w:hanging="360" w:left="5756"/>
      </w:pPr>
      <w:rPr/>
      <w:start w:val="1"/>
      <w:suff w:val="tab"/>
    </w:lvl>
    <w:lvl w:ilvl="7">
      <w:isLgl w:val="true"/>
      <w:lvlJc w:val="left"/>
      <w:lvlText w:val="%8."/>
      <w:numFmt w:val="lowerLetter"/>
      <w:pPr>
        <w:pBdr/>
        <w:tabs>
          <w:tab w:val="num" w:leader="none" w:pos="0"/>
        </w:tabs>
        <w:spacing/>
        <w:ind w:hanging="360" w:left="6476"/>
      </w:pPr>
      <w:rPr/>
      <w:start w:val="1"/>
      <w:suff w:val="tab"/>
    </w:lvl>
    <w:lvl w:ilvl="8">
      <w:isLgl w:val="true"/>
      <w:lvlJc w:val="right"/>
      <w:lvlText w:val="%9."/>
      <w:numFmt w:val="lowerRoman"/>
      <w:pPr>
        <w:pBdr/>
        <w:tabs>
          <w:tab w:val="num" w:leader="none" w:pos="0"/>
        </w:tabs>
        <w:spacing/>
        <w:ind w:hanging="180" w:left="7196"/>
      </w:pPr>
      <w:rPr/>
      <w:start w:val="1"/>
      <w:suff w:val="tab"/>
    </w:lvl>
  </w:abstractNum>
  <w:abstractNum w:abstractNumId="3">
    <w:lvl w:ilvl="0">
      <w:isLgl w:val="true"/>
      <w:lvlJc w:val="left"/>
      <w:lvlText w:val="%1)"/>
      <w:numFmt w:val="lowerLetter"/>
      <w:pPr>
        <w:pBdr/>
        <w:tabs>
          <w:tab w:val="num" w:leader="none" w:pos="0"/>
        </w:tabs>
        <w:spacing/>
        <w:ind w:hanging="360" w:left="720"/>
      </w:pPr>
      <w:rPr/>
      <w:start w:val="1"/>
      <w:suff w:val="tab"/>
    </w:lvl>
    <w:lvl w:ilvl="1">
      <w:isLgl w:val="true"/>
      <w:lvlJc w:val="left"/>
      <w:lvlText w:val="%2."/>
      <w:numFmt w:val="lowerLetter"/>
      <w:pPr>
        <w:pBdr/>
        <w:tabs>
          <w:tab w:val="num" w:leader="none" w:pos="0"/>
        </w:tabs>
        <w:spacing/>
        <w:ind w:hanging="360" w:left="1440"/>
      </w:pPr>
      <w:rPr/>
      <w:start w:val="1"/>
      <w:suff w:val="tab"/>
    </w:lvl>
    <w:lvl w:ilvl="2">
      <w:isLgl w:val="true"/>
      <w:lvlJc w:val="right"/>
      <w:lvlText w:val="%3."/>
      <w:numFmt w:val="lowerRoman"/>
      <w:pPr>
        <w:pBdr/>
        <w:tabs>
          <w:tab w:val="num" w:leader="none" w:pos="0"/>
        </w:tabs>
        <w:spacing/>
        <w:ind w:hanging="180" w:left="2160"/>
      </w:pPr>
      <w:rPr/>
      <w:start w:val="1"/>
      <w:suff w:val="tab"/>
    </w:lvl>
    <w:lvl w:ilvl="3">
      <w:isLgl w:val="true"/>
      <w:lvlJc w:val="left"/>
      <w:lvlText w:val="%4."/>
      <w:numFmt w:val="decimal"/>
      <w:pPr>
        <w:pBdr/>
        <w:tabs>
          <w:tab w:val="num" w:leader="none" w:pos="0"/>
        </w:tabs>
        <w:spacing/>
        <w:ind w:hanging="360" w:left="2880"/>
      </w:pPr>
      <w:rPr/>
      <w:start w:val="1"/>
      <w:suff w:val="tab"/>
    </w:lvl>
    <w:lvl w:ilvl="4">
      <w:isLgl w:val="true"/>
      <w:lvlJc w:val="left"/>
      <w:lvlText w:val="%5."/>
      <w:numFmt w:val="lowerLetter"/>
      <w:pPr>
        <w:pBdr/>
        <w:tabs>
          <w:tab w:val="num" w:leader="none" w:pos="0"/>
        </w:tabs>
        <w:spacing/>
        <w:ind w:hanging="360" w:left="3600"/>
      </w:pPr>
      <w:rPr/>
      <w:start w:val="1"/>
      <w:suff w:val="tab"/>
    </w:lvl>
    <w:lvl w:ilvl="5">
      <w:isLgl w:val="true"/>
      <w:lvlJc w:val="right"/>
      <w:lvlText w:val="%6."/>
      <w:numFmt w:val="lowerRoman"/>
      <w:pPr>
        <w:pBdr/>
        <w:tabs>
          <w:tab w:val="num" w:leader="none" w:pos="0"/>
        </w:tabs>
        <w:spacing/>
        <w:ind w:hanging="180" w:left="4320"/>
      </w:pPr>
      <w:rPr/>
      <w:start w:val="1"/>
      <w:suff w:val="tab"/>
    </w:lvl>
    <w:lvl w:ilvl="6">
      <w:isLgl w:val="true"/>
      <w:lvlJc w:val="left"/>
      <w:lvlText w:val="%7."/>
      <w:numFmt w:val="decimal"/>
      <w:pPr>
        <w:pBdr/>
        <w:tabs>
          <w:tab w:val="num" w:leader="none" w:pos="0"/>
        </w:tabs>
        <w:spacing/>
        <w:ind w:hanging="360" w:left="5040"/>
      </w:pPr>
      <w:rPr/>
      <w:start w:val="1"/>
      <w:suff w:val="tab"/>
    </w:lvl>
    <w:lvl w:ilvl="7">
      <w:isLgl w:val="true"/>
      <w:lvlJc w:val="left"/>
      <w:lvlText w:val="%8."/>
      <w:numFmt w:val="lowerLetter"/>
      <w:pPr>
        <w:pBdr/>
        <w:tabs>
          <w:tab w:val="num" w:leader="none" w:pos="0"/>
        </w:tabs>
        <w:spacing/>
        <w:ind w:hanging="360" w:left="5760"/>
      </w:pPr>
      <w:rPr/>
      <w:start w:val="1"/>
      <w:suff w:val="tab"/>
    </w:lvl>
    <w:lvl w:ilvl="8">
      <w:isLgl w:val="true"/>
      <w:lvlJc w:val="right"/>
      <w:lvlText w:val="%9."/>
      <w:numFmt w:val="lowerRoman"/>
      <w:pPr>
        <w:pBdr/>
        <w:tabs>
          <w:tab w:val="num" w:leader="none" w:pos="0"/>
        </w:tabs>
        <w:spacing/>
        <w:ind w:hanging="180" w:left="6480"/>
      </w:pPr>
      <w:rPr/>
      <w:start w:val="1"/>
      <w:suff w:val="tab"/>
    </w:lvl>
  </w:abstractNum>
  <w:abstractNum w:abstractNumId="4">
    <w:lvl w:ilvl="0">
      <w:isLgl w:val="true"/>
      <w:lvlJc w:val="left"/>
      <w:lvlText w:val="%1."/>
      <w:numFmt w:val="decimal"/>
      <w:pPr>
        <w:pBdr/>
        <w:tabs>
          <w:tab w:val="num" w:leader="none" w:pos="0"/>
        </w:tabs>
        <w:spacing/>
        <w:ind w:hanging="390" w:left="390"/>
      </w:pPr>
      <w:rPr/>
      <w:start w:val="1"/>
      <w:suff w:val="tab"/>
    </w:lvl>
    <w:lvl w:ilvl="1">
      <w:isLgl w:val="true"/>
      <w:lvlJc w:val="left"/>
      <w:lvlText w:val="%1.%2."/>
      <w:numFmt w:val="decimal"/>
      <w:pPr>
        <w:pBdr/>
        <w:tabs>
          <w:tab w:val="num" w:leader="none" w:pos="0"/>
        </w:tabs>
        <w:spacing/>
        <w:ind w:hanging="720" w:left="720"/>
      </w:pPr>
      <w:rPr>
        <w:b/>
        <w:sz w:val="24"/>
      </w:rPr>
      <w:start w:val="1"/>
      <w:suff w:val="tab"/>
    </w:lvl>
    <w:lvl w:ilvl="2">
      <w:isLgl w:val="true"/>
      <w:lvlJc w:val="left"/>
      <w:lvlText w:val="%1.%2.%3."/>
      <w:numFmt w:val="decimal"/>
      <w:pPr>
        <w:pBdr/>
        <w:tabs>
          <w:tab w:val="num" w:leader="none" w:pos="0"/>
        </w:tabs>
        <w:spacing/>
        <w:ind w:hanging="720" w:left="720"/>
      </w:pPr>
      <w:rPr/>
      <w:start w:val="1"/>
      <w:suff w:val="tab"/>
    </w:lvl>
    <w:lvl w:ilvl="3">
      <w:isLgl w:val="true"/>
      <w:lvlJc w:val="left"/>
      <w:lvlText w:val="%1.%2.%3.%4."/>
      <w:numFmt w:val="decimal"/>
      <w:pPr>
        <w:pBdr/>
        <w:tabs>
          <w:tab w:val="num" w:leader="none" w:pos="0"/>
        </w:tabs>
        <w:spacing/>
        <w:ind w:hanging="1080" w:left="1080"/>
      </w:pPr>
      <w:rPr/>
      <w:start w:val="1"/>
      <w:suff w:val="tab"/>
    </w:lvl>
    <w:lvl w:ilvl="4">
      <w:isLgl w:val="true"/>
      <w:lvlJc w:val="left"/>
      <w:lvlText w:val="%1.%2.%3.%4.%5."/>
      <w:numFmt w:val="decimal"/>
      <w:pPr>
        <w:pBdr/>
        <w:tabs>
          <w:tab w:val="num" w:leader="none" w:pos="0"/>
        </w:tabs>
        <w:spacing/>
        <w:ind w:hanging="1080" w:left="1080"/>
      </w:pPr>
      <w:rPr/>
      <w:start w:val="1"/>
      <w:suff w:val="tab"/>
    </w:lvl>
    <w:lvl w:ilvl="5">
      <w:isLgl w:val="true"/>
      <w:lvlJc w:val="left"/>
      <w:lvlText w:val="%1.%2.%3.%4.%5.%6."/>
      <w:numFmt w:val="decimal"/>
      <w:pPr>
        <w:pBdr/>
        <w:tabs>
          <w:tab w:val="num" w:leader="none" w:pos="0"/>
        </w:tabs>
        <w:spacing/>
        <w:ind w:hanging="1440" w:left="1440"/>
      </w:pPr>
      <w:rPr/>
      <w:start w:val="1"/>
      <w:suff w:val="tab"/>
    </w:lvl>
    <w:lvl w:ilvl="6">
      <w:isLgl w:val="true"/>
      <w:lvlJc w:val="left"/>
      <w:lvlText w:val="%1.%2.%3.%4.%5.%6.%7."/>
      <w:numFmt w:val="decimal"/>
      <w:pPr>
        <w:pBdr/>
        <w:tabs>
          <w:tab w:val="num" w:leader="none" w:pos="0"/>
        </w:tabs>
        <w:spacing/>
        <w:ind w:hanging="1440" w:left="1440"/>
      </w:pPr>
      <w:rPr/>
      <w:start w:val="1"/>
      <w:suff w:val="tab"/>
    </w:lvl>
    <w:lvl w:ilvl="7">
      <w:isLgl w:val="true"/>
      <w:lvlJc w:val="left"/>
      <w:lvlText w:val="%1.%2.%3.%4.%5.%6.%7.%8."/>
      <w:numFmt w:val="decimal"/>
      <w:pPr>
        <w:pBdr/>
        <w:tabs>
          <w:tab w:val="num" w:leader="none" w:pos="0"/>
        </w:tabs>
        <w:spacing/>
        <w:ind w:hanging="1800" w:left="1800"/>
      </w:pPr>
      <w:rPr/>
      <w:start w:val="1"/>
      <w:suff w:val="tab"/>
    </w:lvl>
    <w:lvl w:ilvl="8">
      <w:isLgl w:val="true"/>
      <w:lvlJc w:val="left"/>
      <w:lvlText w:val="%1.%2.%3.%4.%5.%6.%7.%8.%9."/>
      <w:numFmt w:val="decimal"/>
      <w:pPr>
        <w:pBdr/>
        <w:tabs>
          <w:tab w:val="num" w:leader="none" w:pos="0"/>
        </w:tabs>
        <w:spacing/>
        <w:ind w:hanging="2160" w:left="2160"/>
      </w:pPr>
      <w:rPr/>
      <w:start w:val="1"/>
      <w:suff w:val="tab"/>
    </w:lvl>
  </w:abstractNum>
  <w:abstractNum w:abstractNumId="5">
    <w:lvl w:ilvl="0">
      <w:isLgl w:val="true"/>
      <w:lvlJc w:val="left"/>
      <w:lvlText w:val="⮚"/>
      <w:numFmt w:val="bullet"/>
      <w:pPr>
        <w:pBdr/>
        <w:tabs>
          <w:tab w:val="num" w:leader="none" w:pos="0"/>
        </w:tabs>
        <w:spacing/>
        <w:ind w:hanging="360" w:left="720"/>
      </w:pPr>
      <w:rPr>
        <w:rFonts w:hint="default" w:ascii="Noto Sans Symbols" w:hAnsi="Noto Sans Symbols" w:cs="Noto Sans Symbols"/>
      </w:rPr>
      <w:start w:val="1"/>
      <w:suff w:val="tab"/>
    </w:lvl>
    <w:lvl w:ilvl="1">
      <w:isLgl w:val="tru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60"/>
      </w:pPr>
      <w:rPr>
        <w:rFonts w:hint="default" w:ascii="Noto Sans Symbols" w:hAnsi="Noto Sans Symbols" w:cs="Noto Sans Symbols"/>
      </w:rPr>
      <w:start w:val="1"/>
      <w:suff w:val="tab"/>
    </w:lvl>
    <w:lvl w:ilvl="3">
      <w:isLgl w:val="true"/>
      <w:lvlJc w:val="left"/>
      <w:lvlText w:val="●"/>
      <w:numFmt w:val="bullet"/>
      <w:pPr>
        <w:pBdr/>
        <w:tabs>
          <w:tab w:val="num" w:leader="none" w:pos="0"/>
        </w:tabs>
        <w:spacing/>
        <w:ind w:hanging="360" w:left="2880"/>
      </w:pPr>
      <w:rPr>
        <w:rFonts w:hint="default" w:ascii="Noto Sans Symbols" w:hAnsi="Noto Sans Symbols" w:cs="Noto Sans Symbols"/>
      </w:rPr>
      <w:start w:val="1"/>
      <w:suff w:val="tab"/>
    </w:lvl>
    <w:lvl w:ilvl="4">
      <w:isLgl w:val="tru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20"/>
      </w:pPr>
      <w:rPr>
        <w:rFonts w:hint="default" w:ascii="Noto Sans Symbols" w:hAnsi="Noto Sans Symbols" w:cs="Noto Sans Symbols"/>
      </w:rPr>
      <w:start w:val="1"/>
      <w:suff w:val="tab"/>
    </w:lvl>
    <w:lvl w:ilvl="6">
      <w:isLgl w:val="true"/>
      <w:lvlJc w:val="left"/>
      <w:lvlText w:val="●"/>
      <w:numFmt w:val="bullet"/>
      <w:pPr>
        <w:pBdr/>
        <w:tabs>
          <w:tab w:val="num" w:leader="none" w:pos="0"/>
        </w:tabs>
        <w:spacing/>
        <w:ind w:hanging="360" w:left="5040"/>
      </w:pPr>
      <w:rPr>
        <w:rFonts w:hint="default" w:ascii="Noto Sans Symbols" w:hAnsi="Noto Sans Symbols" w:cs="Noto Sans Symbols"/>
      </w:rPr>
      <w:start w:val="1"/>
      <w:suff w:val="tab"/>
    </w:lvl>
    <w:lvl w:ilvl="7">
      <w:isLgl w:val="tru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80"/>
      </w:pPr>
      <w:rPr>
        <w:rFonts w:hint="default" w:ascii="Noto Sans Symbols" w:hAnsi="Noto Sans Symbols" w:cs="Noto Sans Symbols"/>
      </w:rPr>
      <w:start w:val="1"/>
      <w:suff w:val="tab"/>
    </w:lvl>
  </w:abstractNum>
  <w:abstractNum w:abstractNumId="6">
    <w:lvl w:ilvl="0">
      <w:isLgl w:val="true"/>
      <w:lvlJc w:val="left"/>
      <w:lvlText w:val="%1."/>
      <w:numFmt w:val="decimal"/>
      <w:pPr>
        <w:pBdr/>
        <w:tabs>
          <w:tab w:val="num" w:leader="none" w:pos="0"/>
        </w:tabs>
        <w:spacing/>
        <w:ind w:hanging="360" w:left="360"/>
      </w:pPr>
      <w:rPr/>
      <w:start w:val="19"/>
      <w:suff w:val="tab"/>
    </w:lvl>
    <w:lvl w:ilvl="1">
      <w:isLgl w:val="true"/>
      <w:lvlJc w:val="left"/>
      <w:lvlText w:val="%1.%2."/>
      <w:numFmt w:val="decimal"/>
      <w:pPr>
        <w:pBdr/>
        <w:tabs>
          <w:tab w:val="num" w:leader="none" w:pos="0"/>
        </w:tabs>
        <w:spacing/>
        <w:ind w:hanging="432" w:left="792"/>
      </w:pPr>
      <w:rPr>
        <w:b w:val="0"/>
        <w:i w:val="0"/>
      </w:rPr>
      <w:start w:val="1"/>
      <w:suff w:val="tab"/>
    </w:lvl>
    <w:lvl w:ilvl="2">
      <w:isLgl w:val="true"/>
      <w:lvlJc w:val="left"/>
      <w:lvlText w:val="%3)"/>
      <w:numFmt w:val="lowerLetter"/>
      <w:pPr>
        <w:pBdr/>
        <w:tabs>
          <w:tab w:val="num" w:leader="none" w:pos="0"/>
        </w:tabs>
        <w:spacing/>
        <w:ind w:hanging="504" w:left="1224"/>
      </w:pPr>
      <w:rPr>
        <w:b w:val="0"/>
      </w:rPr>
      <w:start w:val="1"/>
      <w:suff w:val="tab"/>
    </w:lvl>
    <w:lvl w:ilvl="3">
      <w:isLgl w:val="true"/>
      <w:lvlJc w:val="left"/>
      <w:lvlText w:val="%1.%2.%3.%4."/>
      <w:numFmt w:val="decimal"/>
      <w:pPr>
        <w:pBdr/>
        <w:tabs>
          <w:tab w:val="num" w:leader="none" w:pos="0"/>
        </w:tabs>
        <w:spacing/>
        <w:ind w:hanging="647" w:left="1728"/>
      </w:pPr>
      <w:rPr/>
      <w:start w:val="1"/>
      <w:suff w:val="tab"/>
    </w:lvl>
    <w:lvl w:ilvl="4">
      <w:isLgl w:val="true"/>
      <w:lvlJc w:val="left"/>
      <w:lvlText w:val="%1.%2.%3.%4.%5."/>
      <w:numFmt w:val="decimal"/>
      <w:pPr>
        <w:pBdr/>
        <w:tabs>
          <w:tab w:val="num" w:leader="none" w:pos="0"/>
        </w:tabs>
        <w:spacing/>
        <w:ind w:hanging="792" w:left="2232"/>
      </w:pPr>
      <w:rPr/>
      <w:start w:val="1"/>
      <w:suff w:val="tab"/>
    </w:lvl>
    <w:lvl w:ilvl="5">
      <w:isLgl w:val="true"/>
      <w:lvlJc w:val="left"/>
      <w:lvlText w:val="%1.%2.%3.%4.%5.%6."/>
      <w:numFmt w:val="decimal"/>
      <w:pPr>
        <w:pBdr/>
        <w:tabs>
          <w:tab w:val="num" w:leader="none" w:pos="0"/>
        </w:tabs>
        <w:spacing/>
        <w:ind w:hanging="935" w:left="2736"/>
      </w:pPr>
      <w:rPr/>
      <w:start w:val="1"/>
      <w:suff w:val="tab"/>
    </w:lvl>
    <w:lvl w:ilvl="6">
      <w:isLgl w:val="true"/>
      <w:lvlJc w:val="left"/>
      <w:lvlText w:val="%1.%2.%3.%4.%5.%6.%7."/>
      <w:numFmt w:val="decimal"/>
      <w:pPr>
        <w:pBdr/>
        <w:tabs>
          <w:tab w:val="num" w:leader="none" w:pos="0"/>
        </w:tabs>
        <w:spacing/>
        <w:ind w:hanging="1080" w:left="3240"/>
      </w:pPr>
      <w:rPr/>
      <w:start w:val="1"/>
      <w:suff w:val="tab"/>
    </w:lvl>
    <w:lvl w:ilvl="7">
      <w:isLgl w:val="true"/>
      <w:lvlJc w:val="left"/>
      <w:lvlText w:val="%1.%2.%3.%4.%5.%6.%7.%8."/>
      <w:numFmt w:val="decimal"/>
      <w:pPr>
        <w:pBdr/>
        <w:tabs>
          <w:tab w:val="num" w:leader="none" w:pos="0"/>
        </w:tabs>
        <w:spacing/>
        <w:ind w:hanging="1224" w:left="3744"/>
      </w:pPr>
      <w:rPr/>
      <w:start w:val="1"/>
      <w:suff w:val="tab"/>
    </w:lvl>
    <w:lvl w:ilvl="8">
      <w:isLgl w:val="true"/>
      <w:lvlJc w:val="left"/>
      <w:lvlText w:val="%1.%2.%3.%4.%5.%6.%7.%8.%9."/>
      <w:numFmt w:val="decimal"/>
      <w:pPr>
        <w:pBdr/>
        <w:tabs>
          <w:tab w:val="num" w:leader="none" w:pos="0"/>
        </w:tabs>
        <w:spacing/>
        <w:ind w:hanging="1440" w:left="4320"/>
      </w:pPr>
      <w:rPr/>
      <w:start w:val="1"/>
      <w:suff w:val="tab"/>
    </w:lvl>
  </w:abstractNum>
  <w:abstractNum w:abstractNumId="7">
    <w:lvl w:ilvl="0">
      <w:isLgl w:val="true"/>
      <w:lvlJc w:val="left"/>
      <w:lvlText w:val="%1."/>
      <w:numFmt w:val="decimal"/>
      <w:pPr>
        <w:pBdr/>
        <w:tabs>
          <w:tab w:val="num" w:leader="none" w:pos="0"/>
        </w:tabs>
        <w:spacing/>
        <w:ind w:hanging="390" w:left="390"/>
      </w:pPr>
      <w:rPr/>
      <w:start w:val="2"/>
      <w:suff w:val="tab"/>
    </w:lvl>
    <w:lvl w:ilvl="1">
      <w:isLgl w:val="true"/>
      <w:lvlJc w:val="left"/>
      <w:lvlText w:val="%1.%2."/>
      <w:numFmt w:val="decimal"/>
      <w:pPr>
        <w:pBdr/>
        <w:tabs>
          <w:tab w:val="num" w:leader="none" w:pos="0"/>
        </w:tabs>
        <w:spacing/>
        <w:ind w:hanging="720" w:left="720"/>
      </w:pPr>
      <w:pStyle w:val="1228"/>
      <w:rPr>
        <w:b/>
      </w:rPr>
      <w:start w:val="1"/>
      <w:suff w:val="tab"/>
    </w:lvl>
    <w:lvl w:ilvl="2">
      <w:isLgl w:val="true"/>
      <w:lvlJc w:val="left"/>
      <w:lvlText w:val="%1.%2.%3."/>
      <w:numFmt w:val="decimal"/>
      <w:pPr>
        <w:pBdr/>
        <w:tabs>
          <w:tab w:val="num" w:leader="none" w:pos="0"/>
        </w:tabs>
        <w:spacing/>
        <w:ind w:hanging="720" w:left="720"/>
      </w:pPr>
      <w:pStyle w:val="1229"/>
      <w:rPr>
        <w:b/>
      </w:rPr>
      <w:start w:val="1"/>
      <w:suff w:val="tab"/>
    </w:lvl>
    <w:lvl w:ilvl="3">
      <w:isLgl w:val="true"/>
      <w:lvlJc w:val="left"/>
      <w:lvlText w:val="%1.%2.%3.%4."/>
      <w:numFmt w:val="decimal"/>
      <w:pPr>
        <w:pBdr/>
        <w:tabs>
          <w:tab w:val="num" w:leader="none" w:pos="0"/>
        </w:tabs>
        <w:spacing/>
        <w:ind w:hanging="1080" w:left="1080"/>
      </w:pPr>
      <w:rPr/>
      <w:start w:val="1"/>
      <w:suff w:val="tab"/>
    </w:lvl>
    <w:lvl w:ilvl="4">
      <w:isLgl w:val="true"/>
      <w:lvlJc w:val="left"/>
      <w:lvlText w:val="%1.%2.%3.%4.%5."/>
      <w:numFmt w:val="decimal"/>
      <w:pPr>
        <w:pBdr/>
        <w:tabs>
          <w:tab w:val="num" w:leader="none" w:pos="0"/>
        </w:tabs>
        <w:spacing/>
        <w:ind w:hanging="1080" w:left="1080"/>
      </w:pPr>
      <w:rPr/>
      <w:start w:val="1"/>
      <w:suff w:val="tab"/>
    </w:lvl>
    <w:lvl w:ilvl="5">
      <w:isLgl w:val="true"/>
      <w:lvlJc w:val="left"/>
      <w:lvlText w:val="%1.%2.%3.%4.%5.%6."/>
      <w:numFmt w:val="decimal"/>
      <w:pPr>
        <w:pBdr/>
        <w:tabs>
          <w:tab w:val="num" w:leader="none" w:pos="0"/>
        </w:tabs>
        <w:spacing/>
        <w:ind w:hanging="1440" w:left="1440"/>
      </w:pPr>
      <w:rPr/>
      <w:start w:val="1"/>
      <w:suff w:val="tab"/>
    </w:lvl>
    <w:lvl w:ilvl="6">
      <w:isLgl w:val="true"/>
      <w:lvlJc w:val="left"/>
      <w:lvlText w:val="%1.%2.%3.%4.%5.%6.%7."/>
      <w:numFmt w:val="decimal"/>
      <w:pPr>
        <w:pBdr/>
        <w:tabs>
          <w:tab w:val="num" w:leader="none" w:pos="0"/>
        </w:tabs>
        <w:spacing/>
        <w:ind w:hanging="1440" w:left="1440"/>
      </w:pPr>
      <w:rPr/>
      <w:start w:val="1"/>
      <w:suff w:val="tab"/>
    </w:lvl>
    <w:lvl w:ilvl="7">
      <w:isLgl w:val="true"/>
      <w:lvlJc w:val="left"/>
      <w:lvlText w:val="%1.%2.%3.%4.%5.%6.%7.%8."/>
      <w:numFmt w:val="decimal"/>
      <w:pPr>
        <w:pBdr/>
        <w:tabs>
          <w:tab w:val="num" w:leader="none" w:pos="0"/>
        </w:tabs>
        <w:spacing/>
        <w:ind w:hanging="1800" w:left="1800"/>
      </w:pPr>
      <w:rPr/>
      <w:start w:val="1"/>
      <w:suff w:val="tab"/>
    </w:lvl>
    <w:lvl w:ilvl="8">
      <w:isLgl w:val="true"/>
      <w:lvlJc w:val="left"/>
      <w:lvlText w:val="%1.%2.%3.%4.%5.%6.%7.%8.%9."/>
      <w:numFmt w:val="decimal"/>
      <w:pPr>
        <w:pBdr/>
        <w:tabs>
          <w:tab w:val="num" w:leader="none" w:pos="0"/>
        </w:tabs>
        <w:spacing/>
        <w:ind w:hanging="2160" w:left="2160"/>
      </w:pPr>
      <w:rPr/>
      <w:start w:val="1"/>
      <w:suff w:val="tab"/>
    </w:lvl>
  </w:abstractNum>
  <w:abstractNum w:abstractNumId="8">
    <w:lvl w:ilvl="0">
      <w:isLgl w:val="true"/>
      <w:lvlJc w:val="right"/>
      <w:lvlText w:val="%1."/>
      <w:numFmt w:val="lowerRoman"/>
      <w:pPr>
        <w:pBdr/>
        <w:tabs>
          <w:tab w:val="num" w:leader="none" w:pos="0"/>
        </w:tabs>
        <w:spacing/>
        <w:ind w:hanging="360" w:left="1287"/>
      </w:pPr>
      <w:rPr/>
      <w:start w:val="1"/>
      <w:suff w:val="tab"/>
    </w:lvl>
    <w:lvl w:ilvl="1">
      <w:isLgl w:val="true"/>
      <w:lvlJc w:val="left"/>
      <w:lvlText w:val="%2."/>
      <w:numFmt w:val="decimal"/>
      <w:pPr>
        <w:pBdr/>
        <w:tabs>
          <w:tab w:val="num" w:leader="none" w:pos="0"/>
        </w:tabs>
        <w:spacing/>
        <w:ind w:hanging="360" w:left="2007"/>
      </w:pPr>
      <w:rPr/>
      <w:start w:val="1"/>
      <w:suff w:val="tab"/>
    </w:lvl>
    <w:lvl w:ilvl="2">
      <w:isLgl w:val="true"/>
      <w:lvlJc w:val="right"/>
      <w:lvlText w:val="%3."/>
      <w:numFmt w:val="lowerRoman"/>
      <w:pPr>
        <w:pBdr/>
        <w:tabs>
          <w:tab w:val="num" w:leader="none" w:pos="0"/>
        </w:tabs>
        <w:spacing/>
        <w:ind w:hanging="180" w:left="2727"/>
      </w:pPr>
      <w:rPr/>
      <w:start w:val="1"/>
      <w:suff w:val="tab"/>
    </w:lvl>
    <w:lvl w:ilvl="3">
      <w:isLgl w:val="true"/>
      <w:lvlJc w:val="left"/>
      <w:lvlText w:val="%4."/>
      <w:numFmt w:val="decimal"/>
      <w:pPr>
        <w:pBdr/>
        <w:tabs>
          <w:tab w:val="num" w:leader="none" w:pos="0"/>
        </w:tabs>
        <w:spacing/>
        <w:ind w:hanging="360" w:left="3447"/>
      </w:pPr>
      <w:rPr/>
      <w:start w:val="1"/>
      <w:suff w:val="tab"/>
    </w:lvl>
    <w:lvl w:ilvl="4">
      <w:isLgl w:val="true"/>
      <w:lvlJc w:val="left"/>
      <w:lvlText w:val="%5."/>
      <w:numFmt w:val="lowerLetter"/>
      <w:pPr>
        <w:pBdr/>
        <w:tabs>
          <w:tab w:val="num" w:leader="none" w:pos="0"/>
        </w:tabs>
        <w:spacing/>
        <w:ind w:hanging="360" w:left="4167"/>
      </w:pPr>
      <w:rPr/>
      <w:start w:val="1"/>
      <w:suff w:val="tab"/>
    </w:lvl>
    <w:lvl w:ilvl="5">
      <w:isLgl w:val="true"/>
      <w:lvlJc w:val="right"/>
      <w:lvlText w:val="%6."/>
      <w:numFmt w:val="lowerRoman"/>
      <w:pPr>
        <w:pBdr/>
        <w:tabs>
          <w:tab w:val="num" w:leader="none" w:pos="0"/>
        </w:tabs>
        <w:spacing/>
        <w:ind w:hanging="180" w:left="4887"/>
      </w:pPr>
      <w:rPr/>
      <w:start w:val="1"/>
      <w:suff w:val="tab"/>
    </w:lvl>
    <w:lvl w:ilvl="6">
      <w:isLgl w:val="true"/>
      <w:lvlJc w:val="left"/>
      <w:lvlText w:val="%7."/>
      <w:numFmt w:val="decimal"/>
      <w:pPr>
        <w:pBdr/>
        <w:tabs>
          <w:tab w:val="num" w:leader="none" w:pos="0"/>
        </w:tabs>
        <w:spacing/>
        <w:ind w:hanging="360" w:left="5607"/>
      </w:pPr>
      <w:rPr/>
      <w:start w:val="1"/>
      <w:suff w:val="tab"/>
    </w:lvl>
    <w:lvl w:ilvl="7">
      <w:isLgl w:val="true"/>
      <w:lvlJc w:val="left"/>
      <w:lvlText w:val="%8."/>
      <w:numFmt w:val="lowerLetter"/>
      <w:pPr>
        <w:pBdr/>
        <w:tabs>
          <w:tab w:val="num" w:leader="none" w:pos="0"/>
        </w:tabs>
        <w:spacing/>
        <w:ind w:hanging="360" w:left="6327"/>
      </w:pPr>
      <w:rPr/>
      <w:start w:val="1"/>
      <w:suff w:val="tab"/>
    </w:lvl>
    <w:lvl w:ilvl="8">
      <w:isLgl w:val="true"/>
      <w:lvlJc w:val="right"/>
      <w:lvlText w:val="%9."/>
      <w:numFmt w:val="lowerRoman"/>
      <w:pPr>
        <w:pBdr/>
        <w:tabs>
          <w:tab w:val="num" w:leader="none" w:pos="0"/>
        </w:tabs>
        <w:spacing/>
        <w:ind w:hanging="180" w:left="7047"/>
      </w:pPr>
      <w:rPr/>
      <w:start w:val="1"/>
      <w:suff w:val="tab"/>
    </w:lvl>
  </w:abstractNum>
  <w:abstractNum w:abstractNumId="9">
    <w:lvl w:ilvl="0">
      <w:isLgl w:val="true"/>
      <w:lvlJc w:val="left"/>
      <w:lvlText w:val="%1."/>
      <w:numFmt w:val="decimal"/>
      <w:pPr>
        <w:pBdr/>
        <w:tabs>
          <w:tab w:val="num" w:leader="none" w:pos="0"/>
        </w:tabs>
        <w:spacing/>
        <w:ind w:hanging="360" w:left="360"/>
      </w:pPr>
      <w:rPr>
        <w:b/>
        <w:sz w:val="24"/>
        <w:szCs w:val="24"/>
      </w:rPr>
      <w:start w:val="1"/>
      <w:suff w:val="tab"/>
    </w:lvl>
    <w:lvl w:ilvl="1">
      <w:isLgl w:val="true"/>
      <w:lvlJc w:val="left"/>
      <w:lvlText w:val="%1.%2."/>
      <w:numFmt w:val="decimal"/>
      <w:pPr>
        <w:pBdr/>
        <w:tabs>
          <w:tab w:val="num" w:leader="none" w:pos="0"/>
        </w:tabs>
        <w:spacing/>
        <w:ind w:hanging="432" w:left="999"/>
      </w:pPr>
      <w:rPr>
        <w:b/>
        <w:i w:val="0"/>
        <w:strike w:val="0"/>
        <w:color w:val="000000"/>
        <w:sz w:val="24"/>
        <w:szCs w:val="24"/>
        <w:u w:val="none"/>
      </w:rPr>
      <w:start w:val="1"/>
      <w:suff w:val="tab"/>
    </w:lvl>
    <w:lvl w:ilvl="2">
      <w:isLgl w:val="true"/>
      <w:lvlJc w:val="left"/>
      <w:lvlText w:val="%1.%2.%3."/>
      <w:numFmt w:val="decimal"/>
      <w:pPr>
        <w:pBdr/>
        <w:tabs>
          <w:tab w:val="num" w:leader="none" w:pos="0"/>
        </w:tabs>
        <w:spacing/>
        <w:ind w:hanging="504" w:left="1638"/>
      </w:pPr>
      <w:pStyle w:val="1238"/>
      <w:rPr>
        <w:rFonts w:ascii="Arial" w:hAnsi="Arial" w:eastAsia="Arial" w:cs="Arial"/>
        <w:b/>
        <w:i w:val="0"/>
        <w:strike w:val="0"/>
        <w:color w:val="000000"/>
        <w:sz w:val="24"/>
        <w:szCs w:val="24"/>
      </w:rPr>
      <w:start w:val="1"/>
      <w:suff w:val="tab"/>
    </w:lvl>
    <w:lvl w:ilvl="3">
      <w:isLgl w:val="true"/>
      <w:lvlJc w:val="left"/>
      <w:lvlText w:val="%1.%2.%3.%4."/>
      <w:numFmt w:val="decimal"/>
      <w:pPr>
        <w:pBdr/>
        <w:tabs>
          <w:tab w:val="num" w:leader="none" w:pos="0"/>
        </w:tabs>
        <w:spacing/>
        <w:ind w:hanging="648" w:left="2491"/>
      </w:pPr>
      <w:rPr>
        <w:b/>
        <w:sz w:val="24"/>
        <w:szCs w:val="24"/>
      </w:rPr>
      <w:start w:val="1"/>
      <w:suff w:val="tab"/>
    </w:lvl>
    <w:lvl w:ilvl="4">
      <w:isLgl w:val="true"/>
      <w:lvlJc w:val="left"/>
      <w:lvlText w:val="%1.%2.%3.%4.%5."/>
      <w:numFmt w:val="decimal"/>
      <w:pPr>
        <w:pBdr/>
        <w:tabs>
          <w:tab w:val="num" w:leader="none" w:pos="0"/>
        </w:tabs>
        <w:spacing/>
        <w:ind w:hanging="792" w:left="2232"/>
      </w:pPr>
      <w:rPr/>
      <w:start w:val="1"/>
      <w:suff w:val="tab"/>
    </w:lvl>
    <w:lvl w:ilvl="5">
      <w:isLgl w:val="true"/>
      <w:lvlJc w:val="left"/>
      <w:lvlText w:val="%1.%2.%3.%4.%5.%6."/>
      <w:numFmt w:val="decimal"/>
      <w:pPr>
        <w:pBdr/>
        <w:tabs>
          <w:tab w:val="num" w:leader="none" w:pos="0"/>
        </w:tabs>
        <w:spacing/>
        <w:ind w:hanging="935" w:left="2736"/>
      </w:pPr>
      <w:rPr/>
      <w:start w:val="1"/>
      <w:suff w:val="tab"/>
    </w:lvl>
    <w:lvl w:ilvl="6">
      <w:isLgl w:val="true"/>
      <w:lvlJc w:val="left"/>
      <w:lvlText w:val="%1.%2.%3.%4.%5.%6.%7."/>
      <w:numFmt w:val="decimal"/>
      <w:pPr>
        <w:pBdr/>
        <w:tabs>
          <w:tab w:val="num" w:leader="none" w:pos="0"/>
        </w:tabs>
        <w:spacing/>
        <w:ind w:hanging="1080" w:left="3240"/>
      </w:pPr>
      <w:rPr/>
      <w:start w:val="1"/>
      <w:suff w:val="tab"/>
    </w:lvl>
    <w:lvl w:ilvl="7">
      <w:isLgl w:val="true"/>
      <w:lvlJc w:val="left"/>
      <w:lvlText w:val="%1.%2.%3.%4.%5.%6.%7.%8."/>
      <w:numFmt w:val="decimal"/>
      <w:pPr>
        <w:pBdr/>
        <w:tabs>
          <w:tab w:val="num" w:leader="none" w:pos="0"/>
        </w:tabs>
        <w:spacing/>
        <w:ind w:hanging="1224" w:left="3744"/>
      </w:pPr>
      <w:rPr/>
      <w:start w:val="1"/>
      <w:suff w:val="tab"/>
    </w:lvl>
    <w:lvl w:ilvl="8">
      <w:isLgl w:val="true"/>
      <w:lvlJc w:val="left"/>
      <w:lvlText w:val="%1.%2.%3.%4.%5.%6.%7.%8.%9."/>
      <w:numFmt w:val="decimal"/>
      <w:pPr>
        <w:pBdr/>
        <w:tabs>
          <w:tab w:val="num" w:leader="none" w:pos="0"/>
        </w:tabs>
        <w:spacing/>
        <w:ind w:hanging="1440" w:left="4320"/>
      </w:pPr>
      <w:rPr/>
      <w:start w:val="1"/>
      <w:suff w:val="tab"/>
    </w:lvl>
  </w:abstractNum>
  <w:abstractNum w:abstractNumId="10">
    <w:lvl w:ilvl="0">
      <w:isLgl w:val="true"/>
      <w:lvlJc w:val="left"/>
      <w:lvlText w:val="%1."/>
      <w:numFmt w:val="decimal"/>
      <w:pPr>
        <w:pBdr/>
        <w:tabs>
          <w:tab w:val="num" w:leader="none" w:pos="0"/>
        </w:tabs>
        <w:spacing/>
        <w:ind w:hanging="360" w:left="360"/>
      </w:pPr>
      <w:rPr>
        <w:b/>
        <w:i w:val="0"/>
        <w:color w:val="000000"/>
        <w:sz w:val="24"/>
        <w:szCs w:val="24"/>
      </w:rPr>
      <w:start w:val="1"/>
      <w:suff w:val="tab"/>
    </w:lvl>
    <w:lvl w:ilvl="1">
      <w:isLgl w:val="true"/>
      <w:lvlJc w:val="left"/>
      <w:lvlText w:val="%1.%2."/>
      <w:numFmt w:val="decimal"/>
      <w:pPr>
        <w:pBdr/>
        <w:tabs>
          <w:tab w:val="num" w:leader="none" w:pos="0"/>
        </w:tabs>
        <w:spacing/>
        <w:ind w:hanging="432" w:left="858"/>
      </w:pPr>
      <w:rPr>
        <w:b/>
        <w:i w:val="0"/>
        <w:color w:val="auto"/>
        <w:sz w:val="24"/>
        <w:szCs w:val="24"/>
      </w:rPr>
      <w:start w:val="1"/>
      <w:suff w:val="tab"/>
    </w:lvl>
    <w:lvl w:ilvl="2">
      <w:isLgl w:val="true"/>
      <w:lvlJc w:val="left"/>
      <w:lvlText w:val="%1.%2.%3."/>
      <w:numFmt w:val="decimal"/>
      <w:pPr>
        <w:pBdr/>
        <w:tabs>
          <w:tab w:val="num" w:leader="none" w:pos="0"/>
        </w:tabs>
        <w:spacing/>
        <w:ind w:hanging="504" w:left="1497"/>
      </w:pPr>
      <w:rPr>
        <w:b/>
      </w:rPr>
      <w:start w:val="1"/>
      <w:suff w:val="tab"/>
    </w:lvl>
    <w:lvl w:ilvl="3">
      <w:isLgl w:val="true"/>
      <w:lvlJc w:val="left"/>
      <w:lvlText w:val="%1.%2.%3.%4."/>
      <w:numFmt w:val="decimal"/>
      <w:pPr>
        <w:pBdr/>
        <w:tabs>
          <w:tab w:val="num" w:leader="none" w:pos="0"/>
        </w:tabs>
        <w:spacing/>
        <w:ind w:hanging="647" w:left="1728"/>
      </w:pPr>
      <w:rPr>
        <w:b/>
      </w:rPr>
      <w:start w:val="1"/>
      <w:suff w:val="tab"/>
    </w:lvl>
    <w:lvl w:ilvl="4">
      <w:isLgl w:val="true"/>
      <w:lvlJc w:val="left"/>
      <w:lvlText w:val="%1.%2.%3.%4.%5."/>
      <w:numFmt w:val="decimal"/>
      <w:pPr>
        <w:pBdr/>
        <w:tabs>
          <w:tab w:val="num" w:leader="none" w:pos="0"/>
        </w:tabs>
        <w:spacing/>
        <w:ind w:hanging="792" w:left="2232"/>
      </w:pPr>
      <w:rPr/>
      <w:start w:val="1"/>
      <w:suff w:val="tab"/>
    </w:lvl>
    <w:lvl w:ilvl="5">
      <w:isLgl w:val="true"/>
      <w:lvlJc w:val="left"/>
      <w:lvlText w:val="%1.%2.%3.%4.%5.%6."/>
      <w:numFmt w:val="decimal"/>
      <w:pPr>
        <w:pBdr/>
        <w:tabs>
          <w:tab w:val="num" w:leader="none" w:pos="0"/>
        </w:tabs>
        <w:spacing/>
        <w:ind w:hanging="935" w:left="2736"/>
      </w:pPr>
      <w:rPr/>
      <w:start w:val="1"/>
      <w:suff w:val="tab"/>
    </w:lvl>
    <w:lvl w:ilvl="6">
      <w:isLgl w:val="true"/>
      <w:lvlJc w:val="left"/>
      <w:lvlText w:val="%1.%2.%3.%4.%5.%6.%7."/>
      <w:numFmt w:val="decimal"/>
      <w:pPr>
        <w:pBdr/>
        <w:tabs>
          <w:tab w:val="num" w:leader="none" w:pos="0"/>
        </w:tabs>
        <w:spacing/>
        <w:ind w:hanging="1080" w:left="3240"/>
      </w:pPr>
      <w:rPr/>
      <w:start w:val="1"/>
      <w:suff w:val="tab"/>
    </w:lvl>
    <w:lvl w:ilvl="7">
      <w:isLgl w:val="true"/>
      <w:lvlJc w:val="left"/>
      <w:lvlText w:val="%1.%2.%3.%4.%5.%6.%7.%8."/>
      <w:numFmt w:val="decimal"/>
      <w:pPr>
        <w:pBdr/>
        <w:tabs>
          <w:tab w:val="num" w:leader="none" w:pos="0"/>
        </w:tabs>
        <w:spacing/>
        <w:ind w:hanging="1224" w:left="3744"/>
      </w:pPr>
      <w:rPr/>
      <w:start w:val="1"/>
      <w:suff w:val="tab"/>
    </w:lvl>
    <w:lvl w:ilvl="8">
      <w:isLgl w:val="true"/>
      <w:lvlJc w:val="left"/>
      <w:lvlText w:val="%1.%2.%3.%4.%5.%6.%7.%8.%9."/>
      <w:numFmt w:val="decimal"/>
      <w:pPr>
        <w:pBdr/>
        <w:tabs>
          <w:tab w:val="num" w:leader="none" w:pos="0"/>
        </w:tabs>
        <w:spacing/>
        <w:ind w:hanging="1440" w:left="4320"/>
      </w:pPr>
      <w:rPr/>
      <w:start w:val="1"/>
      <w:suff w:val="tab"/>
    </w:lvl>
  </w:abstractNum>
  <w:abstractNum w:abstractNumId="11">
    <w:lvl w:ilvl="0">
      <w:isLgl w:val="true"/>
      <w:lvlJc w:val="left"/>
      <w:lvlText w:val="%1."/>
      <w:numFmt w:val="decimal"/>
      <w:pPr>
        <w:pBdr/>
        <w:tabs>
          <w:tab w:val="num" w:leader="none" w:pos="0"/>
        </w:tabs>
        <w:spacing/>
        <w:ind w:hanging="360" w:left="360"/>
      </w:pPr>
      <w:rPr>
        <w:b/>
        <w:color w:val="000000"/>
        <w:sz w:val="24"/>
        <w:szCs w:val="24"/>
      </w:rPr>
      <w:start w:val="1"/>
      <w:suff w:val="tab"/>
    </w:lvl>
    <w:lvl w:ilvl="1">
      <w:isLgl w:val="true"/>
      <w:lvlJc w:val="left"/>
      <w:lvlText w:val="%2-"/>
      <w:numFmt w:val="upperRoman"/>
      <w:pPr>
        <w:pBdr/>
        <w:tabs>
          <w:tab w:val="num" w:leader="none" w:pos="0"/>
        </w:tabs>
        <w:spacing/>
        <w:ind w:hanging="709" w:left="851"/>
      </w:pPr>
      <w:rPr>
        <w:rFonts w:ascii="Arial" w:hAnsi="Arial" w:eastAsia="Arial" w:cs="Arial"/>
      </w:rPr>
      <w:start w:val="1"/>
      <w:suff w:val="tab"/>
    </w:lvl>
    <w:lvl w:ilvl="2">
      <w:isLgl w:val="true"/>
      <w:lvlJc w:val="left"/>
      <w:lvlText w:val="9.%2.%3."/>
      <w:numFmt w:val="decimal"/>
      <w:pPr>
        <w:pBdr/>
        <w:tabs>
          <w:tab w:val="num" w:leader="none" w:pos="0"/>
        </w:tabs>
        <w:spacing/>
        <w:ind w:hanging="720" w:left="720"/>
      </w:pPr>
      <w:rPr/>
      <w:start w:val="1"/>
      <w:suff w:val="tab"/>
    </w:lvl>
    <w:lvl w:ilvl="3">
      <w:isLgl w:val="true"/>
      <w:lvlJc w:val="left"/>
      <w:lvlText w:val="9.%2-%3.%4."/>
      <w:numFmt w:val="decimal"/>
      <w:pPr>
        <w:pBdr/>
        <w:tabs>
          <w:tab w:val="num" w:leader="none" w:pos="0"/>
        </w:tabs>
        <w:spacing/>
        <w:ind w:hanging="1080" w:left="1080"/>
      </w:pPr>
      <w:rPr/>
      <w:start w:val="1"/>
      <w:suff w:val="tab"/>
    </w:lvl>
    <w:lvl w:ilvl="4">
      <w:isLgl w:val="true"/>
      <w:lvlJc w:val="left"/>
      <w:lvlText w:val="%1.%2-%3.%4.%5."/>
      <w:numFmt w:val="decimal"/>
      <w:pPr>
        <w:pBdr/>
        <w:tabs>
          <w:tab w:val="num" w:leader="none" w:pos="0"/>
        </w:tabs>
        <w:spacing/>
        <w:ind w:hanging="1080" w:left="1080"/>
      </w:pPr>
      <w:rPr/>
      <w:start w:val="1"/>
      <w:suff w:val="tab"/>
    </w:lvl>
    <w:lvl w:ilvl="5">
      <w:isLgl w:val="true"/>
      <w:lvlJc w:val="left"/>
      <w:lvlText w:val="%1.%2-%3.%4.%5.%6."/>
      <w:numFmt w:val="decimal"/>
      <w:pPr>
        <w:pBdr/>
        <w:tabs>
          <w:tab w:val="num" w:leader="none" w:pos="0"/>
        </w:tabs>
        <w:spacing/>
        <w:ind w:hanging="1440" w:left="1440"/>
      </w:pPr>
      <w:rPr/>
      <w:start w:val="1"/>
      <w:suff w:val="tab"/>
    </w:lvl>
    <w:lvl w:ilvl="6">
      <w:isLgl w:val="true"/>
      <w:lvlJc w:val="left"/>
      <w:lvlText w:val="%1.%2-%3.%4.%5.%6.%7."/>
      <w:numFmt w:val="decimal"/>
      <w:pPr>
        <w:pBdr/>
        <w:tabs>
          <w:tab w:val="num" w:leader="none" w:pos="0"/>
        </w:tabs>
        <w:spacing/>
        <w:ind w:hanging="1440" w:left="1440"/>
      </w:pPr>
      <w:rPr/>
      <w:start w:val="1"/>
      <w:suff w:val="tab"/>
    </w:lvl>
    <w:lvl w:ilvl="7">
      <w:isLgl w:val="true"/>
      <w:lvlJc w:val="left"/>
      <w:lvlText w:val="%1.%2-%3.%4.%5.%6.%7.%8."/>
      <w:numFmt w:val="decimal"/>
      <w:pPr>
        <w:pBdr/>
        <w:tabs>
          <w:tab w:val="num" w:leader="none" w:pos="0"/>
        </w:tabs>
        <w:spacing/>
        <w:ind w:hanging="1800" w:left="1800"/>
      </w:pPr>
      <w:rPr/>
      <w:start w:val="1"/>
      <w:suff w:val="tab"/>
    </w:lvl>
    <w:lvl w:ilvl="8">
      <w:isLgl w:val="true"/>
      <w:lvlJc w:val="left"/>
      <w:lvlText w:val="%1.%2-%3.%4.%5.%6.%7.%8.%9."/>
      <w:numFmt w:val="decimal"/>
      <w:pPr>
        <w:pBdr/>
        <w:tabs>
          <w:tab w:val="num" w:leader="none" w:pos="0"/>
        </w:tabs>
        <w:spacing/>
        <w:ind w:hanging="2160" w:left="2160"/>
      </w:pPr>
      <w:rPr/>
      <w:start w:val="1"/>
      <w:suff w:val="tab"/>
    </w:lvl>
  </w:abstractNum>
  <w:abstractNum w:abstractNumId="12">
    <w:lvl w:ilvl="0">
      <w:isLgl w:val="true"/>
      <w:lvlJc w:val="left"/>
      <w:lvlText w:val="%1"/>
      <w:numFmt w:val="upperRoman"/>
      <w:pPr>
        <w:pBdr/>
        <w:tabs>
          <w:tab w:val="num" w:leader="none" w:pos="0"/>
        </w:tabs>
        <w:spacing/>
        <w:ind w:hanging="132" w:left="662"/>
      </w:pPr>
      <w:rPr>
        <w:rFonts w:ascii="Arial" w:hAnsi="Arial" w:eastAsia="Arial" w:cs="Arial"/>
        <w:b/>
        <w:sz w:val="24"/>
        <w:szCs w:val="24"/>
      </w:rPr>
      <w:start w:val="1"/>
      <w:suff w:val="tab"/>
    </w:lvl>
    <w:lvl w:ilvl="1">
      <w:isLgl w:val="true"/>
      <w:lvlJc w:val="left"/>
      <w:lvlText w:val="%2)"/>
      <w:numFmt w:val="lowerLetter"/>
      <w:pPr>
        <w:pBdr/>
        <w:tabs>
          <w:tab w:val="num" w:leader="none" w:pos="0"/>
        </w:tabs>
        <w:spacing/>
        <w:ind w:hanging="360" w:left="1382"/>
      </w:pPr>
      <w:rPr>
        <w:rFonts w:ascii="Century Gothic" w:hAnsi="Century Gothic" w:eastAsia="Century Gothic" w:cs="Century Gothic"/>
        <w:sz w:val="22"/>
        <w:szCs w:val="22"/>
      </w:rPr>
      <w:start w:val="1"/>
      <w:suff w:val="tab"/>
    </w:lvl>
    <w:lvl w:ilvl="2">
      <w:isLgl w:val="true"/>
      <w:lvlJc w:val="left"/>
      <w:lvlText w:val="●"/>
      <w:numFmt w:val="bullet"/>
      <w:pPr>
        <w:pBdr/>
        <w:tabs>
          <w:tab w:val="num" w:leader="none" w:pos="0"/>
        </w:tabs>
        <w:spacing/>
        <w:ind w:hanging="360" w:left="2385"/>
      </w:pPr>
      <w:rPr>
        <w:rFonts w:hint="default" w:ascii="Noto Sans Symbols" w:hAnsi="Noto Sans Symbols" w:cs="Noto Sans Symbols"/>
      </w:rPr>
      <w:start w:val="1"/>
      <w:suff w:val="tab"/>
    </w:lvl>
    <w:lvl w:ilvl="3">
      <w:isLgl w:val="true"/>
      <w:lvlJc w:val="left"/>
      <w:lvlText w:val="●"/>
      <w:numFmt w:val="bullet"/>
      <w:pPr>
        <w:pBdr/>
        <w:tabs>
          <w:tab w:val="num" w:leader="none" w:pos="0"/>
        </w:tabs>
        <w:spacing/>
        <w:ind w:hanging="360" w:left="3390"/>
      </w:pPr>
      <w:rPr>
        <w:rFonts w:hint="default" w:ascii="Noto Sans Symbols" w:hAnsi="Noto Sans Symbols" w:cs="Noto Sans Symbols"/>
      </w:rPr>
      <w:start w:val="1"/>
      <w:suff w:val="tab"/>
    </w:lvl>
    <w:lvl w:ilvl="4">
      <w:isLgl w:val="true"/>
      <w:lvlJc w:val="left"/>
      <w:lvlText w:val="●"/>
      <w:numFmt w:val="bullet"/>
      <w:pPr>
        <w:pBdr/>
        <w:tabs>
          <w:tab w:val="num" w:leader="none" w:pos="0"/>
        </w:tabs>
        <w:spacing/>
        <w:ind w:hanging="360" w:left="4395"/>
      </w:pPr>
      <w:rPr>
        <w:rFonts w:hint="default" w:ascii="Noto Sans Symbols" w:hAnsi="Noto Sans Symbols" w:cs="Noto Sans Symbols"/>
      </w:rPr>
      <w:start w:val="1"/>
      <w:suff w:val="tab"/>
    </w:lvl>
    <w:lvl w:ilvl="5">
      <w:isLgl w:val="true"/>
      <w:lvlJc w:val="left"/>
      <w:lvlText w:val="●"/>
      <w:numFmt w:val="bullet"/>
      <w:pPr>
        <w:pBdr/>
        <w:tabs>
          <w:tab w:val="num" w:leader="none" w:pos="0"/>
        </w:tabs>
        <w:spacing/>
        <w:ind w:hanging="360" w:left="5400"/>
      </w:pPr>
      <w:rPr>
        <w:rFonts w:hint="default" w:ascii="Noto Sans Symbols" w:hAnsi="Noto Sans Symbols" w:cs="Noto Sans Symbols"/>
      </w:rPr>
      <w:start w:val="1"/>
      <w:suff w:val="tab"/>
    </w:lvl>
    <w:lvl w:ilvl="6">
      <w:isLgl w:val="true"/>
      <w:lvlJc w:val="left"/>
      <w:lvlText w:val="●"/>
      <w:numFmt w:val="bullet"/>
      <w:pPr>
        <w:pBdr/>
        <w:tabs>
          <w:tab w:val="num" w:leader="none" w:pos="0"/>
        </w:tabs>
        <w:spacing/>
        <w:ind w:hanging="360" w:left="6405"/>
      </w:pPr>
      <w:rPr>
        <w:rFonts w:hint="default" w:ascii="Noto Sans Symbols" w:hAnsi="Noto Sans Symbols" w:cs="Noto Sans Symbols"/>
      </w:rPr>
      <w:start w:val="1"/>
      <w:suff w:val="tab"/>
    </w:lvl>
    <w:lvl w:ilvl="7">
      <w:isLgl w:val="true"/>
      <w:lvlJc w:val="left"/>
      <w:lvlText w:val="●"/>
      <w:numFmt w:val="bullet"/>
      <w:pPr>
        <w:pBdr/>
        <w:tabs>
          <w:tab w:val="num" w:leader="none" w:pos="0"/>
        </w:tabs>
        <w:spacing/>
        <w:ind w:hanging="360" w:left="7410"/>
      </w:pPr>
      <w:rPr>
        <w:rFonts w:hint="default" w:ascii="Noto Sans Symbols" w:hAnsi="Noto Sans Symbols" w:cs="Noto Sans Symbols"/>
      </w:rPr>
      <w:start w:val="1"/>
      <w:suff w:val="tab"/>
    </w:lvl>
    <w:lvl w:ilvl="8">
      <w:isLgl w:val="true"/>
      <w:lvlJc w:val="left"/>
      <w:lvlText w:val="●"/>
      <w:numFmt w:val="bullet"/>
      <w:pPr>
        <w:pBdr/>
        <w:tabs>
          <w:tab w:val="num" w:leader="none" w:pos="0"/>
        </w:tabs>
        <w:spacing/>
        <w:ind w:hanging="360" w:left="8416"/>
      </w:pPr>
      <w:rPr>
        <w:rFonts w:hint="default" w:ascii="Noto Sans Symbols" w:hAnsi="Noto Sans Symbols" w:cs="Noto Sans Symbols"/>
      </w:rPr>
      <w:start w:val="1"/>
      <w:suff w:val="tab"/>
    </w:lvl>
  </w:abstractNum>
  <w:abstractNum w:abstractNumId="13">
    <w:lvl w:ilvl="0">
      <w:isLgl w:val="true"/>
      <w:lvlJc w:val="left"/>
      <w:lvlText w:val="%1."/>
      <w:numFmt w:val="decimal"/>
      <w:pPr>
        <w:pBdr/>
        <w:tabs>
          <w:tab w:val="num" w:leader="none" w:pos="0"/>
        </w:tabs>
        <w:spacing/>
        <w:ind w:hanging="390" w:left="390"/>
      </w:pPr>
      <w:rPr>
        <w:u w:val="none"/>
      </w:rPr>
      <w:start w:val="3"/>
      <w:suff w:val="tab"/>
    </w:lvl>
    <w:lvl w:ilvl="1">
      <w:isLgl w:val="true"/>
      <w:lvlJc w:val="left"/>
      <w:lvlText w:val="%1.%2."/>
      <w:numFmt w:val="decimal"/>
      <w:pPr>
        <w:pBdr/>
        <w:tabs>
          <w:tab w:val="num" w:leader="none" w:pos="0"/>
        </w:tabs>
        <w:spacing/>
        <w:ind w:hanging="720" w:left="720"/>
      </w:pPr>
      <w:rPr>
        <w:b/>
        <w:u w:val="none"/>
      </w:rPr>
      <w:start w:val="1"/>
      <w:suff w:val="tab"/>
    </w:lvl>
    <w:lvl w:ilvl="2">
      <w:isLgl w:val="true"/>
      <w:lvlJc w:val="left"/>
      <w:lvlText w:val="%1.%2.%3."/>
      <w:numFmt w:val="decimal"/>
      <w:pPr>
        <w:pBdr/>
        <w:tabs>
          <w:tab w:val="num" w:leader="none" w:pos="0"/>
        </w:tabs>
        <w:spacing/>
        <w:ind w:hanging="720" w:left="720"/>
      </w:pPr>
      <w:rPr>
        <w:b/>
        <w:sz w:val="24"/>
        <w:szCs w:val="24"/>
        <w:u w:val="none"/>
      </w:rPr>
      <w:start w:val="1"/>
      <w:suff w:val="tab"/>
    </w:lvl>
    <w:lvl w:ilvl="3">
      <w:isLgl w:val="true"/>
      <w:lvlJc w:val="left"/>
      <w:lvlText w:val="%1.%2.%3.%4."/>
      <w:numFmt w:val="decimal"/>
      <w:pPr>
        <w:pBdr/>
        <w:tabs>
          <w:tab w:val="num" w:leader="none" w:pos="0"/>
        </w:tabs>
        <w:spacing/>
        <w:ind w:hanging="1080" w:left="1080"/>
      </w:pPr>
      <w:rPr>
        <w:u w:val="none"/>
      </w:rPr>
      <w:start w:val="1"/>
      <w:suff w:val="tab"/>
    </w:lvl>
    <w:lvl w:ilvl="4">
      <w:isLgl w:val="true"/>
      <w:lvlJc w:val="left"/>
      <w:lvlText w:val="%1.%2.%3.%4.%5."/>
      <w:numFmt w:val="decimal"/>
      <w:pPr>
        <w:pBdr/>
        <w:tabs>
          <w:tab w:val="num" w:leader="none" w:pos="0"/>
        </w:tabs>
        <w:spacing/>
        <w:ind w:hanging="1080" w:left="1080"/>
      </w:pPr>
      <w:rPr>
        <w:u w:val="none"/>
      </w:rPr>
      <w:start w:val="1"/>
      <w:suff w:val="tab"/>
    </w:lvl>
    <w:lvl w:ilvl="5">
      <w:isLgl w:val="true"/>
      <w:lvlJc w:val="left"/>
      <w:lvlText w:val="%1.%2.%3.%4.%5.%6."/>
      <w:numFmt w:val="decimal"/>
      <w:pPr>
        <w:pBdr/>
        <w:tabs>
          <w:tab w:val="num" w:leader="none" w:pos="0"/>
        </w:tabs>
        <w:spacing/>
        <w:ind w:hanging="1440" w:left="1440"/>
      </w:pPr>
      <w:rPr>
        <w:u w:val="none"/>
      </w:rPr>
      <w:start w:val="1"/>
      <w:suff w:val="tab"/>
    </w:lvl>
    <w:lvl w:ilvl="6">
      <w:isLgl w:val="true"/>
      <w:lvlJc w:val="left"/>
      <w:lvlText w:val="%1.%2.%3.%4.%5.%6.%7."/>
      <w:numFmt w:val="decimal"/>
      <w:pPr>
        <w:pBdr/>
        <w:tabs>
          <w:tab w:val="num" w:leader="none" w:pos="0"/>
        </w:tabs>
        <w:spacing/>
        <w:ind w:hanging="1440" w:left="1440"/>
      </w:pPr>
      <w:rPr>
        <w:u w:val="none"/>
      </w:rPr>
      <w:start w:val="1"/>
      <w:suff w:val="tab"/>
    </w:lvl>
    <w:lvl w:ilvl="7">
      <w:isLgl w:val="true"/>
      <w:lvlJc w:val="left"/>
      <w:lvlText w:val="%1.%2.%3.%4.%5.%6.%7.%8."/>
      <w:numFmt w:val="decimal"/>
      <w:pPr>
        <w:pBdr/>
        <w:tabs>
          <w:tab w:val="num" w:leader="none" w:pos="0"/>
        </w:tabs>
        <w:spacing/>
        <w:ind w:hanging="1800" w:left="1800"/>
      </w:pPr>
      <w:rPr>
        <w:u w:val="none"/>
      </w:rPr>
      <w:start w:val="1"/>
      <w:suff w:val="tab"/>
    </w:lvl>
    <w:lvl w:ilvl="8">
      <w:isLgl w:val="true"/>
      <w:lvlJc w:val="left"/>
      <w:lvlText w:val="%1.%2.%3.%4.%5.%6.%7.%8.%9."/>
      <w:numFmt w:val="decimal"/>
      <w:pPr>
        <w:pBdr/>
        <w:tabs>
          <w:tab w:val="num" w:leader="none" w:pos="0"/>
        </w:tabs>
        <w:spacing/>
        <w:ind w:hanging="2160" w:left="2160"/>
      </w:pPr>
      <w:rPr>
        <w:u w:val="none"/>
      </w:rPr>
      <w:start w:val="1"/>
      <w:suff w:val="tab"/>
    </w:lvl>
  </w:abstractNum>
  <w:abstractNum w:abstractNumId="14">
    <w:lvl w:ilvl="0">
      <w:isLgl w:val="true"/>
      <w:lvlJc w:val="left"/>
      <w:lvlText w:val="%1."/>
      <w:numFmt w:val="decimal"/>
      <w:pPr>
        <w:pBdr/>
        <w:tabs>
          <w:tab w:val="num" w:leader="none" w:pos="0"/>
        </w:tabs>
        <w:spacing/>
        <w:ind w:hanging="390" w:left="390"/>
      </w:pPr>
      <w:rPr>
        <w:b/>
      </w:rPr>
      <w:start w:val="4"/>
      <w:suff w:val="tab"/>
    </w:lvl>
    <w:lvl w:ilvl="1">
      <w:isLgl w:val="true"/>
      <w:lvlJc w:val="left"/>
      <w:lvlText w:val="%1.%2."/>
      <w:numFmt w:val="decimal"/>
      <w:pPr>
        <w:pBdr/>
        <w:tabs>
          <w:tab w:val="num" w:leader="none" w:pos="0"/>
        </w:tabs>
        <w:spacing/>
        <w:ind w:hanging="720" w:left="720"/>
      </w:pPr>
      <w:rPr>
        <w:b/>
      </w:rPr>
      <w:start w:val="1"/>
      <w:suff w:val="tab"/>
    </w:lvl>
    <w:lvl w:ilvl="2">
      <w:isLgl w:val="true"/>
      <w:lvlJc w:val="left"/>
      <w:lvlText w:val="%1.%2.%3."/>
      <w:numFmt w:val="decimal"/>
      <w:pPr>
        <w:pBdr/>
        <w:tabs>
          <w:tab w:val="num" w:leader="none" w:pos="0"/>
        </w:tabs>
        <w:spacing/>
        <w:ind w:hanging="720" w:left="720"/>
      </w:pPr>
      <w:rPr>
        <w:b/>
      </w:rPr>
      <w:start w:val="1"/>
      <w:suff w:val="tab"/>
    </w:lvl>
    <w:lvl w:ilvl="3">
      <w:isLgl w:val="true"/>
      <w:lvlJc w:val="left"/>
      <w:lvlText w:val="%1.%2.%3.%4."/>
      <w:numFmt w:val="decimal"/>
      <w:pPr>
        <w:pBdr/>
        <w:tabs>
          <w:tab w:val="num" w:leader="none" w:pos="0"/>
        </w:tabs>
        <w:spacing/>
        <w:ind w:hanging="1080" w:left="1080"/>
      </w:pPr>
      <w:rPr>
        <w:b/>
      </w:rPr>
      <w:start w:val="1"/>
      <w:suff w:val="tab"/>
    </w:lvl>
    <w:lvl w:ilvl="4">
      <w:isLgl w:val="true"/>
      <w:lvlJc w:val="left"/>
      <w:lvlText w:val="%1.%2.%3.%4.%5."/>
      <w:numFmt w:val="decimal"/>
      <w:pPr>
        <w:pBdr/>
        <w:tabs>
          <w:tab w:val="num" w:leader="none" w:pos="0"/>
        </w:tabs>
        <w:spacing/>
        <w:ind w:hanging="1080" w:left="1080"/>
      </w:pPr>
      <w:rPr>
        <w:b/>
      </w:rPr>
      <w:start w:val="1"/>
      <w:suff w:val="tab"/>
    </w:lvl>
    <w:lvl w:ilvl="5">
      <w:isLgl w:val="true"/>
      <w:lvlJc w:val="left"/>
      <w:lvlText w:val="%1.%2.%3.%4.%5.%6."/>
      <w:numFmt w:val="decimal"/>
      <w:pPr>
        <w:pBdr/>
        <w:tabs>
          <w:tab w:val="num" w:leader="none" w:pos="0"/>
        </w:tabs>
        <w:spacing/>
        <w:ind w:hanging="1440" w:left="1440"/>
      </w:pPr>
      <w:rPr>
        <w:b/>
      </w:rPr>
      <w:start w:val="1"/>
      <w:suff w:val="tab"/>
    </w:lvl>
    <w:lvl w:ilvl="6">
      <w:isLgl w:val="true"/>
      <w:lvlJc w:val="left"/>
      <w:lvlText w:val="%1.%2.%3.%4.%5.%6.%7."/>
      <w:numFmt w:val="decimal"/>
      <w:pPr>
        <w:pBdr/>
        <w:tabs>
          <w:tab w:val="num" w:leader="none" w:pos="0"/>
        </w:tabs>
        <w:spacing/>
        <w:ind w:hanging="1440" w:left="1440"/>
      </w:pPr>
      <w:rPr>
        <w:b/>
      </w:rPr>
      <w:start w:val="1"/>
      <w:suff w:val="tab"/>
    </w:lvl>
    <w:lvl w:ilvl="7">
      <w:isLgl w:val="true"/>
      <w:lvlJc w:val="left"/>
      <w:lvlText w:val="%1.%2.%3.%4.%5.%6.%7.%8."/>
      <w:numFmt w:val="decimal"/>
      <w:pPr>
        <w:pBdr/>
        <w:tabs>
          <w:tab w:val="num" w:leader="none" w:pos="0"/>
        </w:tabs>
        <w:spacing/>
        <w:ind w:hanging="1800" w:left="1800"/>
      </w:pPr>
      <w:rPr>
        <w:b/>
      </w:rPr>
      <w:start w:val="1"/>
      <w:suff w:val="tab"/>
    </w:lvl>
    <w:lvl w:ilvl="8">
      <w:isLgl w:val="true"/>
      <w:lvlJc w:val="left"/>
      <w:lvlText w:val="%1.%2.%3.%4.%5.%6.%7.%8.%9."/>
      <w:numFmt w:val="decimal"/>
      <w:pPr>
        <w:pBdr/>
        <w:tabs>
          <w:tab w:val="num" w:leader="none" w:pos="0"/>
        </w:tabs>
        <w:spacing/>
        <w:ind w:hanging="2160" w:left="2160"/>
      </w:pPr>
      <w:rPr>
        <w:b/>
      </w:rPr>
      <w:start w:val="1"/>
      <w:suff w:val="tab"/>
    </w:lvl>
  </w:abstractNum>
  <w:abstractNum w:abstractNumId="15">
    <w:lvl w:ilvl="0">
      <w:isLgl w:val="true"/>
      <w:lvlJc w:val="left"/>
      <w:lvlText w:val="%1."/>
      <w:numFmt w:val="decimal"/>
      <w:pPr>
        <w:pBdr/>
        <w:tabs>
          <w:tab w:val="num" w:leader="none" w:pos="0"/>
        </w:tabs>
        <w:spacing/>
        <w:ind w:hanging="390" w:left="390"/>
      </w:pPr>
      <w:pStyle w:val="1227"/>
      <w:rPr>
        <w:b w:val="0"/>
        <w:u w:val="none"/>
      </w:rPr>
      <w:start w:val="5"/>
      <w:suff w:val="tab"/>
    </w:lvl>
    <w:lvl w:ilvl="1">
      <w:isLgl w:val="true"/>
      <w:lvlJc w:val="left"/>
      <w:lvlText w:val="%1.%2."/>
      <w:numFmt w:val="decimal"/>
      <w:pPr>
        <w:pBdr/>
        <w:tabs>
          <w:tab w:val="num" w:leader="none" w:pos="0"/>
        </w:tabs>
        <w:spacing/>
        <w:ind w:hanging="720" w:left="720"/>
      </w:pPr>
      <w:rPr>
        <w:b/>
        <w:u w:val="none"/>
      </w:rPr>
      <w:start w:val="1"/>
      <w:suff w:val="tab"/>
    </w:lvl>
    <w:lvl w:ilvl="2">
      <w:isLgl w:val="true"/>
      <w:lvlJc w:val="left"/>
      <w:lvlText w:val="%1.%2.%3."/>
      <w:numFmt w:val="decimal"/>
      <w:pPr>
        <w:pBdr/>
        <w:tabs>
          <w:tab w:val="num" w:leader="none" w:pos="0"/>
        </w:tabs>
        <w:spacing/>
        <w:ind w:hanging="720" w:left="720"/>
      </w:pPr>
      <w:rPr>
        <w:b w:val="0"/>
        <w:u w:val="none"/>
      </w:rPr>
      <w:start w:val="1"/>
      <w:suff w:val="tab"/>
    </w:lvl>
    <w:lvl w:ilvl="3">
      <w:isLgl w:val="true"/>
      <w:lvlJc w:val="left"/>
      <w:lvlText w:val="%1.%2.%3.%4."/>
      <w:numFmt w:val="decimal"/>
      <w:pPr>
        <w:pBdr/>
        <w:tabs>
          <w:tab w:val="num" w:leader="none" w:pos="0"/>
        </w:tabs>
        <w:spacing/>
        <w:ind w:hanging="1080" w:left="1080"/>
      </w:pPr>
      <w:rPr>
        <w:b w:val="0"/>
        <w:u w:val="none"/>
      </w:rPr>
      <w:start w:val="1"/>
      <w:suff w:val="tab"/>
    </w:lvl>
    <w:lvl w:ilvl="4">
      <w:isLgl w:val="true"/>
      <w:lvlJc w:val="left"/>
      <w:lvlText w:val="%1.%2.%3.%4.%5."/>
      <w:numFmt w:val="decimal"/>
      <w:pPr>
        <w:pBdr/>
        <w:tabs>
          <w:tab w:val="num" w:leader="none" w:pos="0"/>
        </w:tabs>
        <w:spacing/>
        <w:ind w:hanging="1080" w:left="1080"/>
      </w:pPr>
      <w:rPr>
        <w:b w:val="0"/>
        <w:u w:val="none"/>
      </w:rPr>
      <w:start w:val="1"/>
      <w:suff w:val="tab"/>
    </w:lvl>
    <w:lvl w:ilvl="5">
      <w:isLgl w:val="true"/>
      <w:lvlJc w:val="left"/>
      <w:lvlText w:val="%1.%2.%3.%4.%5.%6."/>
      <w:numFmt w:val="decimal"/>
      <w:pPr>
        <w:pBdr/>
        <w:tabs>
          <w:tab w:val="num" w:leader="none" w:pos="0"/>
        </w:tabs>
        <w:spacing/>
        <w:ind w:hanging="1440" w:left="1440"/>
      </w:pPr>
      <w:rPr>
        <w:b w:val="0"/>
        <w:u w:val="none"/>
      </w:rPr>
      <w:start w:val="1"/>
      <w:suff w:val="tab"/>
    </w:lvl>
    <w:lvl w:ilvl="6">
      <w:isLgl w:val="true"/>
      <w:lvlJc w:val="left"/>
      <w:lvlText w:val="%1.%2.%3.%4.%5.%6.%7."/>
      <w:numFmt w:val="decimal"/>
      <w:pPr>
        <w:pBdr/>
        <w:tabs>
          <w:tab w:val="num" w:leader="none" w:pos="0"/>
        </w:tabs>
        <w:spacing/>
        <w:ind w:hanging="1440" w:left="1440"/>
      </w:pPr>
      <w:rPr>
        <w:b w:val="0"/>
        <w:u w:val="none"/>
      </w:rPr>
      <w:start w:val="1"/>
      <w:suff w:val="tab"/>
    </w:lvl>
    <w:lvl w:ilvl="7">
      <w:isLgl w:val="true"/>
      <w:lvlJc w:val="left"/>
      <w:lvlText w:val="%1.%2.%3.%4.%5.%6.%7.%8."/>
      <w:numFmt w:val="decimal"/>
      <w:pPr>
        <w:pBdr/>
        <w:tabs>
          <w:tab w:val="num" w:leader="none" w:pos="0"/>
        </w:tabs>
        <w:spacing/>
        <w:ind w:hanging="1800" w:left="1800"/>
      </w:pPr>
      <w:rPr>
        <w:b w:val="0"/>
        <w:u w:val="none"/>
      </w:rPr>
      <w:start w:val="1"/>
      <w:suff w:val="tab"/>
    </w:lvl>
    <w:lvl w:ilvl="8">
      <w:isLgl w:val="true"/>
      <w:lvlJc w:val="left"/>
      <w:lvlText w:val="%1.%2.%3.%4.%5.%6.%7.%8.%9."/>
      <w:numFmt w:val="decimal"/>
      <w:pPr>
        <w:pBdr/>
        <w:tabs>
          <w:tab w:val="num" w:leader="none" w:pos="0"/>
        </w:tabs>
        <w:spacing/>
        <w:ind w:hanging="2160" w:left="2160"/>
      </w:pPr>
      <w:rPr>
        <w:b w:val="0"/>
        <w:u w:val="none"/>
      </w:rPr>
      <w:start w:val="1"/>
      <w:suff w:val="tab"/>
    </w:lvl>
  </w:abstractNum>
  <w:abstractNum w:abstractNumId="16">
    <w:lvl w:ilvl="0">
      <w:isLgl w:val="true"/>
      <w:lvlJc w:val="left"/>
      <w:lvlText w:val="%1."/>
      <w:numFmt w:val="decimal"/>
      <w:pPr>
        <w:pBdr/>
        <w:tabs>
          <w:tab w:val="num" w:leader="none" w:pos="0"/>
        </w:tabs>
        <w:spacing/>
        <w:ind w:hanging="390" w:left="390"/>
      </w:pPr>
      <w:rPr>
        <w:b w:val="0"/>
        <w:u w:val="none"/>
      </w:rPr>
      <w:start w:val="6"/>
      <w:suff w:val="tab"/>
    </w:lvl>
    <w:lvl w:ilvl="1">
      <w:isLgl w:val="true"/>
      <w:lvlJc w:val="left"/>
      <w:lvlText w:val="%1.%2."/>
      <w:numFmt w:val="decimal"/>
      <w:pPr>
        <w:pBdr/>
        <w:tabs>
          <w:tab w:val="num" w:leader="none" w:pos="0"/>
        </w:tabs>
        <w:spacing/>
        <w:ind w:hanging="720" w:left="720"/>
      </w:pPr>
      <w:rPr>
        <w:b/>
        <w:u w:val="none"/>
      </w:rPr>
      <w:start w:val="1"/>
      <w:suff w:val="tab"/>
    </w:lvl>
    <w:lvl w:ilvl="2">
      <w:isLgl w:val="true"/>
      <w:lvlJc w:val="left"/>
      <w:lvlText w:val="%1.%2.%3."/>
      <w:numFmt w:val="decimal"/>
      <w:pPr>
        <w:pBdr/>
        <w:tabs>
          <w:tab w:val="num" w:leader="none" w:pos="0"/>
        </w:tabs>
        <w:spacing/>
        <w:ind w:hanging="720" w:left="720"/>
      </w:pPr>
      <w:rPr>
        <w:b/>
        <w:u w:val="none"/>
      </w:rPr>
      <w:start w:val="1"/>
      <w:suff w:val="tab"/>
    </w:lvl>
    <w:lvl w:ilvl="3">
      <w:isLgl w:val="true"/>
      <w:lvlJc w:val="left"/>
      <w:lvlText w:val="%1.%2.%3.%4."/>
      <w:numFmt w:val="decimal"/>
      <w:pPr>
        <w:pBdr/>
        <w:tabs>
          <w:tab w:val="num" w:leader="none" w:pos="0"/>
        </w:tabs>
        <w:spacing/>
        <w:ind w:hanging="1080" w:left="1080"/>
      </w:pPr>
      <w:rPr>
        <w:b w:val="0"/>
        <w:u w:val="none"/>
      </w:rPr>
      <w:start w:val="1"/>
      <w:suff w:val="tab"/>
    </w:lvl>
    <w:lvl w:ilvl="4">
      <w:isLgl w:val="true"/>
      <w:lvlJc w:val="left"/>
      <w:lvlText w:val="%1.%2.%3.%4.%5."/>
      <w:numFmt w:val="decimal"/>
      <w:pPr>
        <w:pBdr/>
        <w:tabs>
          <w:tab w:val="num" w:leader="none" w:pos="0"/>
        </w:tabs>
        <w:spacing/>
        <w:ind w:hanging="1080" w:left="1080"/>
      </w:pPr>
      <w:rPr>
        <w:b w:val="0"/>
        <w:u w:val="none"/>
      </w:rPr>
      <w:start w:val="1"/>
      <w:suff w:val="tab"/>
    </w:lvl>
    <w:lvl w:ilvl="5">
      <w:isLgl w:val="true"/>
      <w:lvlJc w:val="left"/>
      <w:lvlText w:val="%1.%2.%3.%4.%5.%6."/>
      <w:numFmt w:val="decimal"/>
      <w:pPr>
        <w:pBdr/>
        <w:tabs>
          <w:tab w:val="num" w:leader="none" w:pos="0"/>
        </w:tabs>
        <w:spacing/>
        <w:ind w:hanging="1440" w:left="1440"/>
      </w:pPr>
      <w:rPr>
        <w:b w:val="0"/>
        <w:u w:val="none"/>
      </w:rPr>
      <w:start w:val="1"/>
      <w:suff w:val="tab"/>
    </w:lvl>
    <w:lvl w:ilvl="6">
      <w:isLgl w:val="true"/>
      <w:lvlJc w:val="left"/>
      <w:lvlText w:val="%1.%2.%3.%4.%5.%6.%7."/>
      <w:numFmt w:val="decimal"/>
      <w:pPr>
        <w:pBdr/>
        <w:tabs>
          <w:tab w:val="num" w:leader="none" w:pos="0"/>
        </w:tabs>
        <w:spacing/>
        <w:ind w:hanging="1440" w:left="1440"/>
      </w:pPr>
      <w:rPr>
        <w:b w:val="0"/>
        <w:u w:val="none"/>
      </w:rPr>
      <w:start w:val="1"/>
      <w:suff w:val="tab"/>
    </w:lvl>
    <w:lvl w:ilvl="7">
      <w:isLgl w:val="true"/>
      <w:lvlJc w:val="left"/>
      <w:lvlText w:val="%1.%2.%3.%4.%5.%6.%7.%8."/>
      <w:numFmt w:val="decimal"/>
      <w:pPr>
        <w:pBdr/>
        <w:tabs>
          <w:tab w:val="num" w:leader="none" w:pos="0"/>
        </w:tabs>
        <w:spacing/>
        <w:ind w:hanging="1800" w:left="1800"/>
      </w:pPr>
      <w:rPr>
        <w:b w:val="0"/>
        <w:u w:val="none"/>
      </w:rPr>
      <w:start w:val="1"/>
      <w:suff w:val="tab"/>
    </w:lvl>
    <w:lvl w:ilvl="8">
      <w:isLgl w:val="true"/>
      <w:lvlJc w:val="left"/>
      <w:lvlText w:val="%1.%2.%3.%4.%5.%6.%7.%8.%9."/>
      <w:numFmt w:val="decimal"/>
      <w:pPr>
        <w:pBdr/>
        <w:tabs>
          <w:tab w:val="num" w:leader="none" w:pos="0"/>
        </w:tabs>
        <w:spacing/>
        <w:ind w:hanging="2160" w:left="2160"/>
      </w:pPr>
      <w:rPr>
        <w:b w:val="0"/>
        <w:u w:val="none"/>
      </w:rPr>
      <w:start w:val="1"/>
      <w:suff w:val="tab"/>
    </w:lvl>
  </w:abstractNum>
  <w:abstractNum w:abstractNumId="17">
    <w:lvl w:ilvl="0">
      <w:isLgl w:val="true"/>
      <w:lvlJc w:val="left"/>
      <w:lvlText w:val="%1."/>
      <w:numFmt w:val="decimal"/>
      <w:pPr>
        <w:pBdr/>
        <w:tabs>
          <w:tab w:val="num" w:leader="none" w:pos="0"/>
        </w:tabs>
        <w:spacing/>
        <w:ind w:hanging="390" w:left="390"/>
      </w:pPr>
      <w:rPr>
        <w:b/>
        <w:color w:val="000000"/>
        <w:sz w:val="24"/>
        <w:szCs w:val="24"/>
        <w:u w:val="none"/>
      </w:rPr>
      <w:start w:val="7"/>
      <w:suff w:val="tab"/>
    </w:lvl>
    <w:lvl w:ilvl="1">
      <w:isLgl w:val="true"/>
      <w:lvlJc w:val="left"/>
      <w:lvlText w:val="%1.%2."/>
      <w:numFmt w:val="decimal"/>
      <w:pPr>
        <w:pBdr/>
        <w:tabs>
          <w:tab w:val="num" w:leader="none" w:pos="0"/>
        </w:tabs>
        <w:spacing/>
        <w:ind w:hanging="720" w:left="720"/>
      </w:pPr>
      <w:rPr>
        <w:b/>
        <w:i w:val="0"/>
        <w:color w:val="000000"/>
        <w:u w:val="none"/>
      </w:rPr>
      <w:start w:val="1"/>
      <w:suff w:val="tab"/>
    </w:lvl>
    <w:lvl w:ilvl="2">
      <w:isLgl w:val="true"/>
      <w:lvlJc w:val="left"/>
      <w:lvlText w:val="%1.%2.%3."/>
      <w:numFmt w:val="decimal"/>
      <w:pPr>
        <w:pBdr/>
        <w:tabs>
          <w:tab w:val="num" w:leader="none" w:pos="0"/>
        </w:tabs>
        <w:spacing/>
        <w:ind w:hanging="720" w:left="720"/>
      </w:pPr>
      <w:rPr>
        <w:b/>
        <w:i w:val="0"/>
        <w:u w:val="none"/>
      </w:rPr>
      <w:start w:val="1"/>
      <w:suff w:val="tab"/>
    </w:lvl>
    <w:lvl w:ilvl="3">
      <w:isLgl w:val="true"/>
      <w:lvlJc w:val="left"/>
      <w:lvlText w:val="%1.%2.%3.%4."/>
      <w:numFmt w:val="decimal"/>
      <w:pPr>
        <w:pBdr/>
        <w:tabs>
          <w:tab w:val="num" w:leader="none" w:pos="0"/>
        </w:tabs>
        <w:spacing/>
        <w:ind w:hanging="1080" w:left="1080"/>
      </w:pPr>
      <w:rPr>
        <w:b/>
        <w:u w:val="none"/>
      </w:rPr>
      <w:start w:val="1"/>
      <w:suff w:val="tab"/>
    </w:lvl>
    <w:lvl w:ilvl="4">
      <w:isLgl w:val="true"/>
      <w:lvlJc w:val="left"/>
      <w:lvlText w:val="%1.%2.%3.%4.%5."/>
      <w:numFmt w:val="decimal"/>
      <w:pPr>
        <w:pBdr/>
        <w:tabs>
          <w:tab w:val="num" w:leader="none" w:pos="0"/>
        </w:tabs>
        <w:spacing/>
        <w:ind w:hanging="1080" w:left="1080"/>
      </w:pPr>
      <w:rPr>
        <w:b/>
        <w:u w:val="none"/>
      </w:rPr>
      <w:start w:val="1"/>
      <w:suff w:val="tab"/>
    </w:lvl>
    <w:lvl w:ilvl="5">
      <w:isLgl w:val="true"/>
      <w:lvlJc w:val="left"/>
      <w:lvlText w:val="%1.%2.%3.%4.%5.%6."/>
      <w:numFmt w:val="decimal"/>
      <w:pPr>
        <w:pBdr/>
        <w:tabs>
          <w:tab w:val="num" w:leader="none" w:pos="0"/>
        </w:tabs>
        <w:spacing/>
        <w:ind w:hanging="1440" w:left="1440"/>
      </w:pPr>
      <w:rPr>
        <w:b w:val="0"/>
        <w:u w:val="none"/>
      </w:rPr>
      <w:start w:val="1"/>
      <w:suff w:val="tab"/>
    </w:lvl>
    <w:lvl w:ilvl="6">
      <w:isLgl w:val="true"/>
      <w:lvlJc w:val="left"/>
      <w:lvlText w:val="%1.%2.%3.%4.%5.%6.%7."/>
      <w:numFmt w:val="decimal"/>
      <w:pPr>
        <w:pBdr/>
        <w:tabs>
          <w:tab w:val="num" w:leader="none" w:pos="0"/>
        </w:tabs>
        <w:spacing/>
        <w:ind w:hanging="1440" w:left="1440"/>
      </w:pPr>
      <w:rPr>
        <w:b w:val="0"/>
        <w:u w:val="none"/>
      </w:rPr>
      <w:start w:val="1"/>
      <w:suff w:val="tab"/>
    </w:lvl>
    <w:lvl w:ilvl="7">
      <w:isLgl w:val="true"/>
      <w:lvlJc w:val="left"/>
      <w:lvlText w:val="%1.%2.%3.%4.%5.%6.%7.%8."/>
      <w:numFmt w:val="decimal"/>
      <w:pPr>
        <w:pBdr/>
        <w:tabs>
          <w:tab w:val="num" w:leader="none" w:pos="0"/>
        </w:tabs>
        <w:spacing/>
        <w:ind w:hanging="1800" w:left="1800"/>
      </w:pPr>
      <w:rPr>
        <w:b w:val="0"/>
        <w:u w:val="none"/>
      </w:rPr>
      <w:start w:val="1"/>
      <w:suff w:val="tab"/>
    </w:lvl>
    <w:lvl w:ilvl="8">
      <w:isLgl w:val="true"/>
      <w:lvlJc w:val="left"/>
      <w:lvlText w:val="%1.%2.%3.%4.%5.%6.%7.%8.%9."/>
      <w:numFmt w:val="decimal"/>
      <w:pPr>
        <w:pBdr/>
        <w:tabs>
          <w:tab w:val="num" w:leader="none" w:pos="0"/>
        </w:tabs>
        <w:spacing/>
        <w:ind w:hanging="2160" w:left="2160"/>
      </w:pPr>
      <w:rPr>
        <w:b w:val="0"/>
        <w:u w:val="none"/>
      </w:rPr>
      <w:start w:val="1"/>
      <w:suff w:val="tab"/>
    </w:lvl>
  </w:abstractNum>
  <w:abstractNum w:abstractNumId="18">
    <w:lvl w:ilvl="0">
      <w:isLgl w:val="true"/>
      <w:lvlJc w:val="left"/>
      <w:lvlText w:val="%1."/>
      <w:numFmt w:val="decimal"/>
      <w:pPr>
        <w:pBdr/>
        <w:tabs>
          <w:tab w:val="num" w:leader="none" w:pos="0"/>
        </w:tabs>
        <w:spacing/>
        <w:ind w:hanging="360" w:left="720"/>
      </w:pPr>
      <w:rPr>
        <w:b/>
      </w:rPr>
      <w:start w:val="1"/>
      <w:suff w:val="tab"/>
    </w:lvl>
    <w:lvl w:ilvl="1">
      <w:isLgl w:val="true"/>
      <w:lvlJc w:val="left"/>
      <w:lvlText w:val="%2."/>
      <w:numFmt w:val="lowerLetter"/>
      <w:pPr>
        <w:pBdr/>
        <w:tabs>
          <w:tab w:val="num" w:leader="none" w:pos="0"/>
        </w:tabs>
        <w:spacing/>
        <w:ind w:hanging="360" w:left="1440"/>
      </w:pPr>
      <w:rPr/>
      <w:start w:val="1"/>
      <w:suff w:val="tab"/>
    </w:lvl>
    <w:lvl w:ilvl="2">
      <w:isLgl w:val="true"/>
      <w:lvlJc w:val="right"/>
      <w:lvlText w:val="%3."/>
      <w:numFmt w:val="lowerRoman"/>
      <w:pPr>
        <w:pBdr/>
        <w:tabs>
          <w:tab w:val="num" w:leader="none" w:pos="0"/>
        </w:tabs>
        <w:spacing/>
        <w:ind w:hanging="180" w:left="2160"/>
      </w:pPr>
      <w:rPr/>
      <w:start w:val="1"/>
      <w:suff w:val="tab"/>
    </w:lvl>
    <w:lvl w:ilvl="3">
      <w:isLgl w:val="true"/>
      <w:lvlJc w:val="left"/>
      <w:lvlText w:val="%4."/>
      <w:numFmt w:val="decimal"/>
      <w:pPr>
        <w:pBdr/>
        <w:tabs>
          <w:tab w:val="num" w:leader="none" w:pos="0"/>
        </w:tabs>
        <w:spacing/>
        <w:ind w:hanging="360" w:left="2880"/>
      </w:pPr>
      <w:rPr/>
      <w:start w:val="1"/>
      <w:suff w:val="tab"/>
    </w:lvl>
    <w:lvl w:ilvl="4">
      <w:isLgl w:val="true"/>
      <w:lvlJc w:val="left"/>
      <w:lvlText w:val="%5."/>
      <w:numFmt w:val="lowerLetter"/>
      <w:pPr>
        <w:pBdr/>
        <w:tabs>
          <w:tab w:val="num" w:leader="none" w:pos="0"/>
        </w:tabs>
        <w:spacing/>
        <w:ind w:hanging="360" w:left="3600"/>
      </w:pPr>
      <w:rPr/>
      <w:start w:val="1"/>
      <w:suff w:val="tab"/>
    </w:lvl>
    <w:lvl w:ilvl="5">
      <w:isLgl w:val="true"/>
      <w:lvlJc w:val="right"/>
      <w:lvlText w:val="%6."/>
      <w:numFmt w:val="lowerRoman"/>
      <w:pPr>
        <w:pBdr/>
        <w:tabs>
          <w:tab w:val="num" w:leader="none" w:pos="0"/>
        </w:tabs>
        <w:spacing/>
        <w:ind w:hanging="180" w:left="4320"/>
      </w:pPr>
      <w:rPr/>
      <w:start w:val="1"/>
      <w:suff w:val="tab"/>
    </w:lvl>
    <w:lvl w:ilvl="6">
      <w:isLgl w:val="true"/>
      <w:lvlJc w:val="left"/>
      <w:lvlText w:val="%7."/>
      <w:numFmt w:val="decimal"/>
      <w:pPr>
        <w:pBdr/>
        <w:tabs>
          <w:tab w:val="num" w:leader="none" w:pos="0"/>
        </w:tabs>
        <w:spacing/>
        <w:ind w:hanging="360" w:left="5040"/>
      </w:pPr>
      <w:rPr/>
      <w:start w:val="1"/>
      <w:suff w:val="tab"/>
    </w:lvl>
    <w:lvl w:ilvl="7">
      <w:isLgl w:val="true"/>
      <w:lvlJc w:val="left"/>
      <w:lvlText w:val="%8."/>
      <w:numFmt w:val="lowerLetter"/>
      <w:pPr>
        <w:pBdr/>
        <w:tabs>
          <w:tab w:val="num" w:leader="none" w:pos="0"/>
        </w:tabs>
        <w:spacing/>
        <w:ind w:hanging="360" w:left="5760"/>
      </w:pPr>
      <w:rPr/>
      <w:start w:val="1"/>
      <w:suff w:val="tab"/>
    </w:lvl>
    <w:lvl w:ilvl="8">
      <w:isLgl w:val="true"/>
      <w:lvlJc w:val="right"/>
      <w:lvlText w:val="%9."/>
      <w:numFmt w:val="lowerRoman"/>
      <w:pPr>
        <w:pBdr/>
        <w:tabs>
          <w:tab w:val="num" w:leader="none" w:pos="0"/>
        </w:tabs>
        <w:spacing/>
        <w:ind w:hanging="180" w:left="6480"/>
      </w:pPr>
      <w:rPr/>
      <w:start w:val="1"/>
      <w:suff w:val="tab"/>
    </w:lvl>
  </w:abstractNum>
  <w:abstractNum w:abstractNumId="19">
    <w:lvl w:ilvl="0">
      <w:isLgl w:val="true"/>
      <w:lvlJc w:val="left"/>
      <w:lvlText w:val="%1."/>
      <w:numFmt w:val="decimal"/>
      <w:pPr>
        <w:pBdr/>
        <w:tabs>
          <w:tab w:val="num" w:leader="none" w:pos="0"/>
        </w:tabs>
        <w:spacing/>
        <w:ind w:hanging="390" w:left="390"/>
      </w:pPr>
      <w:rPr>
        <w:rFonts w:ascii="Arial" w:hAnsi="Arial" w:cs="Arial"/>
        <w:b/>
      </w:rPr>
      <w:start w:val="1"/>
      <w:suff w:val="tab"/>
    </w:lvl>
    <w:lvl w:ilvl="1">
      <w:isLgl w:val="true"/>
      <w:lvlJc w:val="left"/>
      <w:lvlText w:val="%1.%2."/>
      <w:numFmt w:val="decimal"/>
      <w:pPr>
        <w:pBdr/>
        <w:tabs>
          <w:tab w:val="num" w:leader="none" w:pos="0"/>
        </w:tabs>
        <w:spacing/>
        <w:ind w:hanging="720" w:left="720"/>
      </w:pPr>
      <w:rPr>
        <w:rFonts w:ascii="Arial" w:hAnsi="Arial" w:cs="Arial"/>
        <w:b/>
      </w:rPr>
      <w:start w:val="1"/>
      <w:suff w:val="tab"/>
    </w:lvl>
    <w:lvl w:ilvl="2">
      <w:isLgl w:val="true"/>
      <w:lvlJc w:val="left"/>
      <w:lvlText w:val="%1.%2.%3."/>
      <w:numFmt w:val="decimal"/>
      <w:pPr>
        <w:pBdr/>
        <w:tabs>
          <w:tab w:val="num" w:leader="none" w:pos="0"/>
        </w:tabs>
        <w:spacing/>
        <w:ind w:hanging="720" w:left="1146"/>
      </w:pPr>
      <w:rPr>
        <w:rFonts w:ascii="Arial" w:hAnsi="Arial" w:cs="Arial"/>
        <w:b/>
      </w:rPr>
      <w:start w:val="1"/>
      <w:suff w:val="tab"/>
    </w:lvl>
    <w:lvl w:ilvl="3">
      <w:isLgl w:val="true"/>
      <w:lvlJc w:val="left"/>
      <w:lvlText w:val="%1.%2.%3.%4."/>
      <w:numFmt w:val="decimal"/>
      <w:pPr>
        <w:pBdr/>
        <w:tabs>
          <w:tab w:val="num" w:leader="none" w:pos="0"/>
        </w:tabs>
        <w:spacing/>
        <w:ind w:hanging="1080" w:left="1080"/>
      </w:pPr>
      <w:rPr/>
      <w:start w:val="1"/>
      <w:suff w:val="tab"/>
    </w:lvl>
    <w:lvl w:ilvl="4">
      <w:isLgl w:val="true"/>
      <w:lvlJc w:val="left"/>
      <w:lvlText w:val="%1.%2.%3.%4.%5."/>
      <w:numFmt w:val="decimal"/>
      <w:pPr>
        <w:pBdr/>
        <w:tabs>
          <w:tab w:val="num" w:leader="none" w:pos="0"/>
        </w:tabs>
        <w:spacing/>
        <w:ind w:hanging="1080" w:left="1080"/>
      </w:pPr>
      <w:rPr/>
      <w:start w:val="1"/>
      <w:suff w:val="tab"/>
    </w:lvl>
    <w:lvl w:ilvl="5">
      <w:isLgl w:val="true"/>
      <w:lvlJc w:val="left"/>
      <w:lvlText w:val="%1.%2.%3.%4.%5.%6."/>
      <w:numFmt w:val="decimal"/>
      <w:pPr>
        <w:pBdr/>
        <w:tabs>
          <w:tab w:val="num" w:leader="none" w:pos="0"/>
        </w:tabs>
        <w:spacing/>
        <w:ind w:hanging="1440" w:left="1440"/>
      </w:pPr>
      <w:rPr/>
      <w:start w:val="1"/>
      <w:suff w:val="tab"/>
    </w:lvl>
    <w:lvl w:ilvl="6">
      <w:isLgl w:val="true"/>
      <w:lvlJc w:val="left"/>
      <w:lvlText w:val="%1.%2.%3.%4.%5.%6.%7."/>
      <w:numFmt w:val="decimal"/>
      <w:pPr>
        <w:pBdr/>
        <w:tabs>
          <w:tab w:val="num" w:leader="none" w:pos="0"/>
        </w:tabs>
        <w:spacing/>
        <w:ind w:hanging="1440" w:left="1440"/>
      </w:pPr>
      <w:rPr/>
      <w:start w:val="1"/>
      <w:suff w:val="tab"/>
    </w:lvl>
    <w:lvl w:ilvl="7">
      <w:isLgl w:val="true"/>
      <w:lvlJc w:val="left"/>
      <w:lvlText w:val="%1.%2.%3.%4.%5.%6.%7.%8."/>
      <w:numFmt w:val="decimal"/>
      <w:pPr>
        <w:pBdr/>
        <w:tabs>
          <w:tab w:val="num" w:leader="none" w:pos="0"/>
        </w:tabs>
        <w:spacing/>
        <w:ind w:hanging="1800" w:left="1800"/>
      </w:pPr>
      <w:rPr/>
      <w:start w:val="1"/>
      <w:suff w:val="tab"/>
    </w:lvl>
    <w:lvl w:ilvl="8">
      <w:isLgl w:val="true"/>
      <w:lvlJc w:val="left"/>
      <w:lvlText w:val="%1.%2.%3.%4.%5.%6.%7.%8.%9."/>
      <w:numFmt w:val="decimal"/>
      <w:pPr>
        <w:pBdr/>
        <w:tabs>
          <w:tab w:val="num" w:leader="none" w:pos="0"/>
        </w:tabs>
        <w:spacing/>
        <w:ind w:hanging="2160" w:left="2160"/>
      </w:pPr>
      <w:rPr/>
      <w:start w:val="1"/>
      <w:suff w:val="tab"/>
    </w:lvl>
  </w:abstractNum>
  <w:abstractNum w:abstractNumId="20">
    <w:lvl w:ilvl="0">
      <w:isLgl w:val="true"/>
      <w:lvlJc w:val="left"/>
      <w:lvlText w:val="%1"/>
      <w:numFmt w:val="decimal"/>
      <w:pPr>
        <w:pBdr/>
        <w:tabs>
          <w:tab w:val="num" w:leader="none" w:pos="0"/>
        </w:tabs>
        <w:spacing/>
        <w:ind w:hanging="360" w:left="360"/>
      </w:pPr>
      <w:rPr/>
      <w:start w:val="4"/>
      <w:suff w:val="tab"/>
    </w:lvl>
    <w:lvl w:ilvl="1">
      <w:isLgl w:val="true"/>
      <w:lvlJc w:val="left"/>
      <w:lvlText w:val="%1.%2"/>
      <w:numFmt w:val="decimal"/>
      <w:pPr>
        <w:pBdr/>
        <w:tabs>
          <w:tab w:val="num" w:leader="none" w:pos="0"/>
        </w:tabs>
        <w:spacing/>
        <w:ind w:hanging="360" w:left="360"/>
      </w:pPr>
      <w:rPr>
        <w:b/>
      </w:rPr>
      <w:start w:val="1"/>
      <w:suff w:val="tab"/>
    </w:lvl>
    <w:lvl w:ilvl="2">
      <w:isLgl w:val="true"/>
      <w:lvlJc w:val="left"/>
      <w:lvlText w:val="%1.%2.%3"/>
      <w:numFmt w:val="decimal"/>
      <w:pPr>
        <w:pBdr/>
        <w:tabs>
          <w:tab w:val="num" w:leader="none" w:pos="0"/>
        </w:tabs>
        <w:spacing/>
        <w:ind w:hanging="720" w:left="720"/>
      </w:pPr>
      <w:rPr/>
      <w:start w:val="1"/>
      <w:suff w:val="tab"/>
    </w:lvl>
    <w:lvl w:ilvl="3">
      <w:isLgl w:val="true"/>
      <w:lvlJc w:val="left"/>
      <w:lvlText w:val="%1.%2.%3.%4"/>
      <w:numFmt w:val="decimal"/>
      <w:pPr>
        <w:pBdr/>
        <w:tabs>
          <w:tab w:val="num" w:leader="none" w:pos="0"/>
        </w:tabs>
        <w:spacing/>
        <w:ind w:hanging="1080" w:left="1080"/>
      </w:pPr>
      <w:rPr/>
      <w:start w:val="1"/>
      <w:suff w:val="tab"/>
    </w:lvl>
    <w:lvl w:ilvl="4">
      <w:isLgl w:val="true"/>
      <w:lvlJc w:val="left"/>
      <w:lvlText w:val="%1.%2.%3.%4.%5"/>
      <w:numFmt w:val="decimal"/>
      <w:pPr>
        <w:pBdr/>
        <w:tabs>
          <w:tab w:val="num" w:leader="none" w:pos="0"/>
        </w:tabs>
        <w:spacing/>
        <w:ind w:hanging="1080" w:left="1080"/>
      </w:pPr>
      <w:rPr/>
      <w:start w:val="1"/>
      <w:suff w:val="tab"/>
    </w:lvl>
    <w:lvl w:ilvl="5">
      <w:isLgl w:val="true"/>
      <w:lvlJc w:val="left"/>
      <w:lvlText w:val="%1.%2.%3.%4.%5.%6"/>
      <w:numFmt w:val="decimal"/>
      <w:pPr>
        <w:pBdr/>
        <w:tabs>
          <w:tab w:val="num" w:leader="none" w:pos="0"/>
        </w:tabs>
        <w:spacing/>
        <w:ind w:hanging="1440" w:left="1440"/>
      </w:pPr>
      <w:rPr/>
      <w:start w:val="1"/>
      <w:suff w:val="tab"/>
    </w:lvl>
    <w:lvl w:ilvl="6">
      <w:isLgl w:val="true"/>
      <w:lvlJc w:val="left"/>
      <w:lvlText w:val="%1.%2.%3.%4.%5.%6.%7"/>
      <w:numFmt w:val="decimal"/>
      <w:pPr>
        <w:pBdr/>
        <w:tabs>
          <w:tab w:val="num" w:leader="none" w:pos="0"/>
        </w:tabs>
        <w:spacing/>
        <w:ind w:hanging="1440" w:left="1440"/>
      </w:pPr>
      <w:rPr/>
      <w:start w:val="1"/>
      <w:suff w:val="tab"/>
    </w:lvl>
    <w:lvl w:ilvl="7">
      <w:isLgl w:val="true"/>
      <w:lvlJc w:val="left"/>
      <w:lvlText w:val="%1.%2.%3.%4.%5.%6.%7.%8"/>
      <w:numFmt w:val="decimal"/>
      <w:pPr>
        <w:pBdr/>
        <w:tabs>
          <w:tab w:val="num" w:leader="none" w:pos="0"/>
        </w:tabs>
        <w:spacing/>
        <w:ind w:hanging="1800" w:left="1800"/>
      </w:pPr>
      <w:rPr/>
      <w:start w:val="1"/>
      <w:suff w:val="tab"/>
    </w:lvl>
    <w:lvl w:ilvl="8">
      <w:isLgl w:val="true"/>
      <w:lvlJc w:val="left"/>
      <w:lvlText w:val="%1.%2.%3.%4.%5.%6.%7.%8.%9"/>
      <w:numFmt w:val="decimal"/>
      <w:pPr>
        <w:pBdr/>
        <w:tabs>
          <w:tab w:val="num" w:leader="none" w:pos="0"/>
        </w:tabs>
        <w:spacing/>
        <w:ind w:hanging="1800" w:left="1800"/>
      </w:pPr>
      <w:rPr/>
      <w:start w:val="1"/>
      <w:suff w:val="tab"/>
    </w:lvl>
  </w:abstractNum>
  <w:abstractNum w:abstractNumId="21">
    <w:lvl w:ilvl="0">
      <w:isLgl w:val="true"/>
      <w:lvlJc w:val="left"/>
      <w:lvlText w:val="●"/>
      <w:numFmt w:val="bullet"/>
      <w:pPr>
        <w:pBdr/>
        <w:tabs>
          <w:tab w:val="num" w:leader="none" w:pos="0"/>
        </w:tabs>
        <w:spacing/>
        <w:ind w:hanging="358" w:left="494"/>
      </w:pPr>
      <w:rPr>
        <w:rFonts w:hint="default" w:ascii="Noto Sans Symbols" w:hAnsi="Noto Sans Symbols" w:cs="Noto Sans Symbols"/>
        <w:sz w:val="22"/>
        <w:szCs w:val="22"/>
      </w:rPr>
      <w:start w:val="0"/>
      <w:suff w:val="tab"/>
    </w:lvl>
    <w:lvl w:ilvl="1">
      <w:isLgl w:val="true"/>
      <w:lvlJc w:val="left"/>
      <w:lvlText w:val=""/>
      <w:numFmt w:val="bullet"/>
      <w:pPr>
        <w:pBdr/>
        <w:tabs>
          <w:tab w:val="num" w:leader="none" w:pos="0"/>
        </w:tabs>
        <w:spacing/>
        <w:ind w:hanging="358" w:left="1500"/>
      </w:pPr>
      <w:rPr>
        <w:rFonts w:hint="default" w:ascii="Symbol" w:hAnsi="Symbol" w:cs="Symbol"/>
      </w:rPr>
      <w:start w:val="0"/>
      <w:suff w:val="tab"/>
    </w:lvl>
    <w:lvl w:ilvl="2">
      <w:isLgl w:val="true"/>
      <w:lvlJc w:val="left"/>
      <w:lvlText w:val=""/>
      <w:numFmt w:val="bullet"/>
      <w:pPr>
        <w:pBdr/>
        <w:tabs>
          <w:tab w:val="num" w:leader="none" w:pos="0"/>
        </w:tabs>
        <w:spacing/>
        <w:ind w:hanging="358" w:left="2501"/>
      </w:pPr>
      <w:rPr>
        <w:rFonts w:hint="default" w:ascii="Symbol" w:hAnsi="Symbol" w:cs="Symbol"/>
      </w:rPr>
      <w:start w:val="0"/>
      <w:suff w:val="tab"/>
    </w:lvl>
    <w:lvl w:ilvl="3">
      <w:isLgl w:val="true"/>
      <w:lvlJc w:val="left"/>
      <w:lvlText w:val=""/>
      <w:numFmt w:val="bullet"/>
      <w:pPr>
        <w:pBdr/>
        <w:tabs>
          <w:tab w:val="num" w:leader="none" w:pos="0"/>
        </w:tabs>
        <w:spacing/>
        <w:ind w:hanging="358" w:left="3501"/>
      </w:pPr>
      <w:rPr>
        <w:rFonts w:hint="default" w:ascii="Symbol" w:hAnsi="Symbol" w:cs="Symbol"/>
      </w:rPr>
      <w:start w:val="0"/>
      <w:suff w:val="tab"/>
    </w:lvl>
    <w:lvl w:ilvl="4">
      <w:isLgl w:val="true"/>
      <w:lvlJc w:val="left"/>
      <w:lvlText w:val=""/>
      <w:numFmt w:val="bullet"/>
      <w:pPr>
        <w:pBdr/>
        <w:tabs>
          <w:tab w:val="num" w:leader="none" w:pos="0"/>
        </w:tabs>
        <w:spacing/>
        <w:ind w:hanging="358" w:left="4502"/>
      </w:pPr>
      <w:rPr>
        <w:rFonts w:hint="default" w:ascii="Symbol" w:hAnsi="Symbol" w:cs="Symbol"/>
      </w:rPr>
      <w:start w:val="0"/>
      <w:suff w:val="tab"/>
    </w:lvl>
    <w:lvl w:ilvl="5">
      <w:isLgl w:val="true"/>
      <w:lvlJc w:val="left"/>
      <w:lvlText w:val=""/>
      <w:numFmt w:val="bullet"/>
      <w:pPr>
        <w:pBdr/>
        <w:tabs>
          <w:tab w:val="num" w:leader="none" w:pos="0"/>
        </w:tabs>
        <w:spacing/>
        <w:ind w:hanging="358" w:left="5503"/>
      </w:pPr>
      <w:rPr>
        <w:rFonts w:hint="default" w:ascii="Symbol" w:hAnsi="Symbol" w:cs="Symbol"/>
      </w:rPr>
      <w:start w:val="0"/>
      <w:suff w:val="tab"/>
    </w:lvl>
    <w:lvl w:ilvl="6">
      <w:isLgl w:val="true"/>
      <w:lvlJc w:val="left"/>
      <w:lvlText w:val=""/>
      <w:numFmt w:val="bullet"/>
      <w:pPr>
        <w:pBdr/>
        <w:tabs>
          <w:tab w:val="num" w:leader="none" w:pos="0"/>
        </w:tabs>
        <w:spacing/>
        <w:ind w:hanging="358" w:left="6503"/>
      </w:pPr>
      <w:rPr>
        <w:rFonts w:hint="default" w:ascii="Symbol" w:hAnsi="Symbol" w:cs="Symbol"/>
      </w:rPr>
      <w:start w:val="0"/>
      <w:suff w:val="tab"/>
    </w:lvl>
    <w:lvl w:ilvl="7">
      <w:isLgl w:val="true"/>
      <w:lvlJc w:val="left"/>
      <w:lvlText w:val=""/>
      <w:numFmt w:val="bullet"/>
      <w:pPr>
        <w:pBdr/>
        <w:tabs>
          <w:tab w:val="num" w:leader="none" w:pos="0"/>
        </w:tabs>
        <w:spacing/>
        <w:ind w:hanging="358" w:left="7504"/>
      </w:pPr>
      <w:rPr>
        <w:rFonts w:hint="default" w:ascii="Symbol" w:hAnsi="Symbol" w:cs="Symbol"/>
      </w:rPr>
      <w:start w:val="0"/>
      <w:suff w:val="tab"/>
    </w:lvl>
    <w:lvl w:ilvl="8">
      <w:isLgl w:val="true"/>
      <w:lvlJc w:val="left"/>
      <w:lvlText w:val=""/>
      <w:numFmt w:val="bullet"/>
      <w:pPr>
        <w:pBdr/>
        <w:tabs>
          <w:tab w:val="num" w:leader="none" w:pos="0"/>
        </w:tabs>
        <w:spacing/>
        <w:ind w:hanging="358" w:left="8505"/>
      </w:pPr>
      <w:rPr>
        <w:rFonts w:hint="default" w:ascii="Symbol" w:hAnsi="Symbol" w:cs="Symbol"/>
      </w:rPr>
      <w:start w:val="0"/>
      <w:suff w:val="tab"/>
    </w:lvl>
  </w:abstractNum>
  <w:abstractNum w:abstractNumId="22">
    <w:lvl w:ilvl="0">
      <w:isLgl w:val="true"/>
      <w:lvlJc w:val="left"/>
      <w:lvlText w:val="%1."/>
      <w:numFmt w:val="decimal"/>
      <w:pPr>
        <w:pBdr/>
        <w:tabs>
          <w:tab w:val="num" w:leader="none" w:pos="0"/>
        </w:tabs>
        <w:spacing/>
        <w:ind w:hanging="284" w:left="568"/>
      </w:pPr>
      <w:rPr>
        <w:rFonts w:ascii="Arial" w:hAnsi="Arial" w:eastAsia="Arial" w:cs="Arial"/>
        <w:b/>
        <w:color w:val="000000"/>
        <w:sz w:val="24"/>
        <w:szCs w:val="24"/>
      </w:rPr>
      <w:start w:val="1"/>
      <w:suff w:val="tab"/>
    </w:lvl>
    <w:lvl w:ilvl="1">
      <w:isLgl w:val="true"/>
      <w:lvlJc w:val="left"/>
      <w:lvlText w:val="%1.%2."/>
      <w:numFmt w:val="decimal"/>
      <w:pPr>
        <w:pBdr/>
        <w:tabs>
          <w:tab w:val="num" w:leader="none" w:pos="0"/>
        </w:tabs>
        <w:spacing/>
        <w:ind w:hanging="567" w:left="850"/>
      </w:pPr>
      <w:rPr>
        <w:b/>
        <w:color w:val="000000"/>
      </w:rPr>
      <w:start w:val="1"/>
      <w:suff w:val="tab"/>
    </w:lvl>
    <w:lvl w:ilvl="2">
      <w:isLgl w:val="true"/>
      <w:lvlJc w:val="left"/>
      <w:lvlText w:val="%1.%2.%3."/>
      <w:numFmt w:val="decimal"/>
      <w:pPr>
        <w:pBdr/>
        <w:tabs>
          <w:tab w:val="num" w:leader="none" w:pos="0"/>
        </w:tabs>
        <w:spacing/>
        <w:ind w:hanging="708" w:left="1558"/>
      </w:pPr>
      <w:rPr>
        <w:b/>
        <w:color w:val="auto"/>
      </w:rPr>
      <w:start w:val="1"/>
      <w:suff w:val="tab"/>
    </w:lvl>
    <w:lvl w:ilvl="3">
      <w:isLgl w:val="true"/>
      <w:lvlJc w:val="left"/>
      <w:lvlText w:val="%1.%2.%3.%4."/>
      <w:numFmt w:val="decimal"/>
      <w:pPr>
        <w:pBdr/>
        <w:tabs>
          <w:tab w:val="num" w:leader="none" w:pos="0"/>
        </w:tabs>
        <w:spacing/>
        <w:ind w:hanging="708" w:left="285"/>
      </w:pPr>
      <w:rPr>
        <w:rFonts w:ascii="Arial" w:hAnsi="Arial" w:eastAsia="Arial" w:cs="Arial"/>
        <w:b/>
        <w:sz w:val="24"/>
        <w:szCs w:val="24"/>
      </w:rPr>
      <w:start w:val="1"/>
      <w:suff w:val="tab"/>
    </w:lvl>
    <w:lvl w:ilvl="4">
      <w:isLgl w:val="true"/>
      <w:lvlJc w:val="left"/>
      <w:lvlText w:val="%1.%2.%3.%4.%5."/>
      <w:numFmt w:val="decimal"/>
      <w:pPr>
        <w:pBdr/>
        <w:tabs>
          <w:tab w:val="num" w:leader="none" w:pos="0"/>
        </w:tabs>
        <w:spacing/>
        <w:ind w:hanging="707" w:left="1274"/>
      </w:pPr>
      <w:rPr>
        <w:b/>
      </w:rPr>
      <w:start w:val="1"/>
      <w:suff w:val="tab"/>
    </w:lvl>
    <w:lvl w:ilvl="5">
      <w:isLgl w:val="true"/>
      <w:lvlJc w:val="left"/>
      <w:lvlText w:val=""/>
      <w:numFmt w:val="bullet"/>
      <w:pPr>
        <w:pBdr/>
        <w:tabs>
          <w:tab w:val="num" w:leader="none" w:pos="0"/>
        </w:tabs>
        <w:spacing/>
        <w:ind w:hanging="708" w:left="3199"/>
      </w:pPr>
      <w:rPr>
        <w:rFonts w:hint="default" w:ascii="Symbol" w:hAnsi="Symbol" w:cs="Symbol"/>
      </w:rPr>
      <w:start w:val="0"/>
      <w:suff w:val="tab"/>
    </w:lvl>
    <w:lvl w:ilvl="6">
      <w:isLgl w:val="true"/>
      <w:lvlJc w:val="left"/>
      <w:lvlText w:val=""/>
      <w:numFmt w:val="bullet"/>
      <w:pPr>
        <w:pBdr/>
        <w:tabs>
          <w:tab w:val="num" w:leader="none" w:pos="0"/>
        </w:tabs>
        <w:spacing/>
        <w:ind w:hanging="708" w:left="4690"/>
      </w:pPr>
      <w:rPr>
        <w:rFonts w:hint="default" w:ascii="Symbol" w:hAnsi="Symbol" w:cs="Symbol"/>
      </w:rPr>
      <w:start w:val="0"/>
      <w:suff w:val="tab"/>
    </w:lvl>
    <w:lvl w:ilvl="7">
      <w:isLgl w:val="true"/>
      <w:lvlJc w:val="left"/>
      <w:lvlText w:val=""/>
      <w:numFmt w:val="bullet"/>
      <w:pPr>
        <w:pBdr/>
        <w:tabs>
          <w:tab w:val="num" w:leader="none" w:pos="0"/>
        </w:tabs>
        <w:spacing/>
        <w:ind w:hanging="707" w:left="6181"/>
      </w:pPr>
      <w:rPr>
        <w:rFonts w:hint="default" w:ascii="Symbol" w:hAnsi="Symbol" w:cs="Symbol"/>
      </w:rPr>
      <w:start w:val="0"/>
      <w:suff w:val="tab"/>
    </w:lvl>
    <w:lvl w:ilvl="8">
      <w:isLgl w:val="true"/>
      <w:lvlJc w:val="left"/>
      <w:lvlText w:val=""/>
      <w:numFmt w:val="bullet"/>
      <w:pPr>
        <w:pBdr/>
        <w:tabs>
          <w:tab w:val="num" w:leader="none" w:pos="0"/>
        </w:tabs>
        <w:spacing/>
        <w:ind w:hanging="707" w:left="7672"/>
      </w:pPr>
      <w:rPr>
        <w:rFonts w:hint="default" w:ascii="Symbol" w:hAnsi="Symbol" w:cs="Symbol"/>
      </w:rPr>
      <w:start w:val="0"/>
      <w:suff w:val="tab"/>
    </w:lvl>
  </w:abstractNum>
  <w:abstractNum w:abstractNumId="23">
    <w:lvl w:ilvl="0">
      <w:isLgl w:val="true"/>
      <w:lvlJc w:val="left"/>
      <w:lvlText w:val="·"/>
      <w:numFmt w:val="bullet"/>
      <w:pPr>
        <w:pBdr/>
        <w:tabs>
          <w:tab w:val="num" w:leader="none" w:pos="0"/>
        </w:tabs>
        <w:spacing/>
        <w:ind w:hanging="360" w:left="709"/>
      </w:pPr>
      <w:rPr>
        <w:rFonts w:hint="default" w:ascii="Symbol" w:hAnsi="Symbol" w:cs="Symbol"/>
      </w:rPr>
      <w:start w:val="1"/>
      <w:suff w:val="tab"/>
    </w:lvl>
    <w:lvl w:ilvl="1">
      <w:isLgl w:val="true"/>
      <w:lvlJc w:val="left"/>
      <w:lvlText w:val="o"/>
      <w:numFmt w:val="bullet"/>
      <w:pPr>
        <w:pBdr/>
        <w:tabs>
          <w:tab w:val="num" w:leader="none" w:pos="0"/>
        </w:tabs>
        <w:spacing/>
        <w:ind w:hanging="360" w:left="1429"/>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49"/>
      </w:pPr>
      <w:rPr>
        <w:rFonts w:hint="default" w:ascii="Wingdings" w:hAnsi="Wingdings" w:cs="Wingdings"/>
      </w:rPr>
      <w:start w:val="1"/>
      <w:suff w:val="tab"/>
    </w:lvl>
    <w:lvl w:ilvl="3">
      <w:isLgl w:val="true"/>
      <w:lvlJc w:val="left"/>
      <w:lvlText w:val="·"/>
      <w:numFmt w:val="bullet"/>
      <w:pPr>
        <w:pBdr/>
        <w:tabs>
          <w:tab w:val="num" w:leader="none" w:pos="0"/>
        </w:tabs>
        <w:spacing/>
        <w:ind w:hanging="360" w:left="2869"/>
      </w:pPr>
      <w:rPr>
        <w:rFonts w:hint="default" w:ascii="Symbol" w:hAnsi="Symbol" w:cs="Symbol"/>
      </w:rPr>
      <w:start w:val="1"/>
      <w:suff w:val="tab"/>
    </w:lvl>
    <w:lvl w:ilvl="4">
      <w:isLgl w:val="true"/>
      <w:lvlJc w:val="left"/>
      <w:lvlText w:val="o"/>
      <w:numFmt w:val="bullet"/>
      <w:pPr>
        <w:pBdr/>
        <w:tabs>
          <w:tab w:val="num" w:leader="none" w:pos="0"/>
        </w:tabs>
        <w:spacing/>
        <w:ind w:hanging="360" w:left="3589"/>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09"/>
      </w:pPr>
      <w:rPr>
        <w:rFonts w:hint="default" w:ascii="Wingdings" w:hAnsi="Wingdings" w:cs="Wingdings"/>
      </w:rPr>
      <w:start w:val="1"/>
      <w:suff w:val="tab"/>
    </w:lvl>
    <w:lvl w:ilvl="6">
      <w:isLgl w:val="true"/>
      <w:lvlJc w:val="left"/>
      <w:lvlText w:val="·"/>
      <w:numFmt w:val="bullet"/>
      <w:pPr>
        <w:pBdr/>
        <w:tabs>
          <w:tab w:val="num" w:leader="none" w:pos="0"/>
        </w:tabs>
        <w:spacing/>
        <w:ind w:hanging="360" w:left="5029"/>
      </w:pPr>
      <w:rPr>
        <w:rFonts w:hint="default" w:ascii="Symbol" w:hAnsi="Symbol" w:cs="Symbol"/>
      </w:rPr>
      <w:start w:val="1"/>
      <w:suff w:val="tab"/>
    </w:lvl>
    <w:lvl w:ilvl="7">
      <w:isLgl w:val="true"/>
      <w:lvlJc w:val="left"/>
      <w:lvlText w:val="o"/>
      <w:numFmt w:val="bullet"/>
      <w:pPr>
        <w:pBdr/>
        <w:tabs>
          <w:tab w:val="num" w:leader="none" w:pos="0"/>
        </w:tabs>
        <w:spacing/>
        <w:ind w:hanging="360" w:left="5749"/>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69"/>
      </w:pPr>
      <w:rPr>
        <w:rFonts w:hint="default" w:ascii="Wingdings" w:hAnsi="Wingdings" w:cs="Wingdings"/>
      </w:rPr>
      <w:start w:val="1"/>
      <w:suff w:val="tab"/>
    </w:lvl>
  </w:abstractNum>
  <w:abstractNum w:abstractNumId="24">
    <w:lvl w:ilvl="0">
      <w:isLgl w:val="true"/>
      <w:lvlJc w:val="left"/>
      <w:lvlText w:val="·"/>
      <w:numFmt w:val="bullet"/>
      <w:pPr>
        <w:pBdr/>
        <w:tabs>
          <w:tab w:val="num" w:leader="none" w:pos="0"/>
        </w:tabs>
        <w:spacing/>
        <w:ind w:hanging="360" w:left="709"/>
      </w:pPr>
      <w:rPr>
        <w:rFonts w:hint="default" w:ascii="Symbol" w:hAnsi="Symbol" w:cs="Symbol"/>
      </w:rPr>
      <w:start w:val="1"/>
      <w:suff w:val="tab"/>
    </w:lvl>
    <w:lvl w:ilvl="1">
      <w:isLgl w:val="true"/>
      <w:lvlJc w:val="left"/>
      <w:lvlText w:val="o"/>
      <w:numFmt w:val="bullet"/>
      <w:pPr>
        <w:pBdr/>
        <w:tabs>
          <w:tab w:val="num" w:leader="none" w:pos="0"/>
        </w:tabs>
        <w:spacing/>
        <w:ind w:hanging="360" w:left="1429"/>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49"/>
      </w:pPr>
      <w:rPr>
        <w:rFonts w:hint="default" w:ascii="Wingdings" w:hAnsi="Wingdings" w:cs="Wingdings"/>
      </w:rPr>
      <w:start w:val="1"/>
      <w:suff w:val="tab"/>
    </w:lvl>
    <w:lvl w:ilvl="3">
      <w:isLgl w:val="true"/>
      <w:lvlJc w:val="left"/>
      <w:lvlText w:val="·"/>
      <w:numFmt w:val="bullet"/>
      <w:pPr>
        <w:pBdr/>
        <w:tabs>
          <w:tab w:val="num" w:leader="none" w:pos="0"/>
        </w:tabs>
        <w:spacing/>
        <w:ind w:hanging="360" w:left="2869"/>
      </w:pPr>
      <w:rPr>
        <w:rFonts w:hint="default" w:ascii="Symbol" w:hAnsi="Symbol" w:cs="Symbol"/>
      </w:rPr>
      <w:start w:val="1"/>
      <w:suff w:val="tab"/>
    </w:lvl>
    <w:lvl w:ilvl="4">
      <w:isLgl w:val="true"/>
      <w:lvlJc w:val="left"/>
      <w:lvlText w:val="o"/>
      <w:numFmt w:val="bullet"/>
      <w:pPr>
        <w:pBdr/>
        <w:tabs>
          <w:tab w:val="num" w:leader="none" w:pos="0"/>
        </w:tabs>
        <w:spacing/>
        <w:ind w:hanging="360" w:left="3589"/>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09"/>
      </w:pPr>
      <w:rPr>
        <w:rFonts w:hint="default" w:ascii="Wingdings" w:hAnsi="Wingdings" w:cs="Wingdings"/>
      </w:rPr>
      <w:start w:val="1"/>
      <w:suff w:val="tab"/>
    </w:lvl>
    <w:lvl w:ilvl="6">
      <w:isLgl w:val="true"/>
      <w:lvlJc w:val="left"/>
      <w:lvlText w:val="·"/>
      <w:numFmt w:val="bullet"/>
      <w:pPr>
        <w:pBdr/>
        <w:tabs>
          <w:tab w:val="num" w:leader="none" w:pos="0"/>
        </w:tabs>
        <w:spacing/>
        <w:ind w:hanging="360" w:left="5029"/>
      </w:pPr>
      <w:rPr>
        <w:rFonts w:hint="default" w:ascii="Symbol" w:hAnsi="Symbol" w:cs="Symbol"/>
      </w:rPr>
      <w:start w:val="1"/>
      <w:suff w:val="tab"/>
    </w:lvl>
    <w:lvl w:ilvl="7">
      <w:isLgl w:val="true"/>
      <w:lvlJc w:val="left"/>
      <w:lvlText w:val="o"/>
      <w:numFmt w:val="bullet"/>
      <w:pPr>
        <w:pBdr/>
        <w:tabs>
          <w:tab w:val="num" w:leader="none" w:pos="0"/>
        </w:tabs>
        <w:spacing/>
        <w:ind w:hanging="360" w:left="5749"/>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69"/>
      </w:pPr>
      <w:rPr>
        <w:rFonts w:hint="default" w:ascii="Wingdings" w:hAnsi="Wingdings" w:cs="Wingdings"/>
      </w:rPr>
      <w:start w:val="1"/>
      <w:suff w:val="tab"/>
    </w:lvl>
  </w:abstractNum>
  <w:abstractNum w:abstractNumId="25">
    <w:lvl w:ilvl="0">
      <w:isLgl w:val="true"/>
      <w:lvlJc w:val="left"/>
      <w:lvlText w:val="·"/>
      <w:numFmt w:val="bullet"/>
      <w:pPr>
        <w:pBdr/>
        <w:tabs>
          <w:tab w:val="num" w:leader="none" w:pos="0"/>
        </w:tabs>
        <w:spacing/>
        <w:ind w:hanging="360" w:left="709"/>
      </w:pPr>
      <w:rPr>
        <w:rFonts w:hint="default" w:ascii="Symbol" w:hAnsi="Symbol" w:cs="Symbol"/>
      </w:rPr>
      <w:start w:val="1"/>
      <w:suff w:val="tab"/>
    </w:lvl>
    <w:lvl w:ilvl="1">
      <w:isLgl w:val="true"/>
      <w:lvlJc w:val="left"/>
      <w:lvlText w:val="o"/>
      <w:numFmt w:val="bullet"/>
      <w:pPr>
        <w:pBdr/>
        <w:tabs>
          <w:tab w:val="num" w:leader="none" w:pos="0"/>
        </w:tabs>
        <w:spacing/>
        <w:ind w:hanging="360" w:left="1429"/>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49"/>
      </w:pPr>
      <w:rPr>
        <w:rFonts w:hint="default" w:ascii="Wingdings" w:hAnsi="Wingdings" w:cs="Wingdings"/>
      </w:rPr>
      <w:start w:val="1"/>
      <w:suff w:val="tab"/>
    </w:lvl>
    <w:lvl w:ilvl="3">
      <w:isLgl w:val="true"/>
      <w:lvlJc w:val="left"/>
      <w:lvlText w:val="·"/>
      <w:numFmt w:val="bullet"/>
      <w:pPr>
        <w:pBdr/>
        <w:tabs>
          <w:tab w:val="num" w:leader="none" w:pos="0"/>
        </w:tabs>
        <w:spacing/>
        <w:ind w:hanging="360" w:left="2869"/>
      </w:pPr>
      <w:rPr>
        <w:rFonts w:hint="default" w:ascii="Symbol" w:hAnsi="Symbol" w:cs="Symbol"/>
      </w:rPr>
      <w:start w:val="1"/>
      <w:suff w:val="tab"/>
    </w:lvl>
    <w:lvl w:ilvl="4">
      <w:isLgl w:val="true"/>
      <w:lvlJc w:val="left"/>
      <w:lvlText w:val="o"/>
      <w:numFmt w:val="bullet"/>
      <w:pPr>
        <w:pBdr/>
        <w:tabs>
          <w:tab w:val="num" w:leader="none" w:pos="0"/>
        </w:tabs>
        <w:spacing/>
        <w:ind w:hanging="360" w:left="3589"/>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09"/>
      </w:pPr>
      <w:rPr>
        <w:rFonts w:hint="default" w:ascii="Wingdings" w:hAnsi="Wingdings" w:cs="Wingdings"/>
      </w:rPr>
      <w:start w:val="1"/>
      <w:suff w:val="tab"/>
    </w:lvl>
    <w:lvl w:ilvl="6">
      <w:isLgl w:val="true"/>
      <w:lvlJc w:val="left"/>
      <w:lvlText w:val="·"/>
      <w:numFmt w:val="bullet"/>
      <w:pPr>
        <w:pBdr/>
        <w:tabs>
          <w:tab w:val="num" w:leader="none" w:pos="0"/>
        </w:tabs>
        <w:spacing/>
        <w:ind w:hanging="360" w:left="5029"/>
      </w:pPr>
      <w:rPr>
        <w:rFonts w:hint="default" w:ascii="Symbol" w:hAnsi="Symbol" w:cs="Symbol"/>
      </w:rPr>
      <w:start w:val="1"/>
      <w:suff w:val="tab"/>
    </w:lvl>
    <w:lvl w:ilvl="7">
      <w:isLgl w:val="true"/>
      <w:lvlJc w:val="left"/>
      <w:lvlText w:val="o"/>
      <w:numFmt w:val="bullet"/>
      <w:pPr>
        <w:pBdr/>
        <w:tabs>
          <w:tab w:val="num" w:leader="none" w:pos="0"/>
        </w:tabs>
        <w:spacing/>
        <w:ind w:hanging="360" w:left="5749"/>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69"/>
      </w:pPr>
      <w:rPr>
        <w:rFonts w:hint="default" w:ascii="Wingdings" w:hAnsi="Wingdings" w:cs="Wingdings"/>
      </w:rPr>
      <w:start w:val="1"/>
      <w:suff w:val="tab"/>
    </w:lvl>
  </w:abstractNum>
  <w:abstractNum w:abstractNumId="26">
    <w:lvl w:ilvl="0">
      <w:isLgl w:val="true"/>
      <w:lvlJc w:val="left"/>
      <w:lvlText w:val="·"/>
      <w:numFmt w:val="bullet"/>
      <w:pPr>
        <w:pBdr/>
        <w:tabs>
          <w:tab w:val="num" w:leader="none" w:pos="0"/>
        </w:tabs>
        <w:spacing/>
        <w:ind w:hanging="360" w:left="709"/>
      </w:pPr>
      <w:rPr>
        <w:rFonts w:hint="default" w:ascii="Symbol" w:hAnsi="Symbol" w:cs="Symbol"/>
      </w:rPr>
      <w:start w:val="1"/>
      <w:suff w:val="tab"/>
    </w:lvl>
    <w:lvl w:ilvl="1">
      <w:isLgl w:val="true"/>
      <w:lvlJc w:val="left"/>
      <w:lvlText w:val="o"/>
      <w:numFmt w:val="bullet"/>
      <w:pPr>
        <w:pBdr/>
        <w:tabs>
          <w:tab w:val="num" w:leader="none" w:pos="0"/>
        </w:tabs>
        <w:spacing/>
        <w:ind w:hanging="360" w:left="1429"/>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49"/>
      </w:pPr>
      <w:rPr>
        <w:rFonts w:hint="default" w:ascii="Wingdings" w:hAnsi="Wingdings" w:cs="Wingdings"/>
      </w:rPr>
      <w:start w:val="1"/>
      <w:suff w:val="tab"/>
    </w:lvl>
    <w:lvl w:ilvl="3">
      <w:isLgl w:val="true"/>
      <w:lvlJc w:val="left"/>
      <w:lvlText w:val="·"/>
      <w:numFmt w:val="bullet"/>
      <w:pPr>
        <w:pBdr/>
        <w:tabs>
          <w:tab w:val="num" w:leader="none" w:pos="0"/>
        </w:tabs>
        <w:spacing/>
        <w:ind w:hanging="360" w:left="2869"/>
      </w:pPr>
      <w:rPr>
        <w:rFonts w:hint="default" w:ascii="Symbol" w:hAnsi="Symbol" w:cs="Symbol"/>
      </w:rPr>
      <w:start w:val="1"/>
      <w:suff w:val="tab"/>
    </w:lvl>
    <w:lvl w:ilvl="4">
      <w:isLgl w:val="true"/>
      <w:lvlJc w:val="left"/>
      <w:lvlText w:val="o"/>
      <w:numFmt w:val="bullet"/>
      <w:pPr>
        <w:pBdr/>
        <w:tabs>
          <w:tab w:val="num" w:leader="none" w:pos="0"/>
        </w:tabs>
        <w:spacing/>
        <w:ind w:hanging="360" w:left="3589"/>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09"/>
      </w:pPr>
      <w:rPr>
        <w:rFonts w:hint="default" w:ascii="Wingdings" w:hAnsi="Wingdings" w:cs="Wingdings"/>
      </w:rPr>
      <w:start w:val="1"/>
      <w:suff w:val="tab"/>
    </w:lvl>
    <w:lvl w:ilvl="6">
      <w:isLgl w:val="true"/>
      <w:lvlJc w:val="left"/>
      <w:lvlText w:val="·"/>
      <w:numFmt w:val="bullet"/>
      <w:pPr>
        <w:pBdr/>
        <w:tabs>
          <w:tab w:val="num" w:leader="none" w:pos="0"/>
        </w:tabs>
        <w:spacing/>
        <w:ind w:hanging="360" w:left="5029"/>
      </w:pPr>
      <w:rPr>
        <w:rFonts w:hint="default" w:ascii="Symbol" w:hAnsi="Symbol" w:cs="Symbol"/>
      </w:rPr>
      <w:start w:val="1"/>
      <w:suff w:val="tab"/>
    </w:lvl>
    <w:lvl w:ilvl="7">
      <w:isLgl w:val="true"/>
      <w:lvlJc w:val="left"/>
      <w:lvlText w:val="o"/>
      <w:numFmt w:val="bullet"/>
      <w:pPr>
        <w:pBdr/>
        <w:tabs>
          <w:tab w:val="num" w:leader="none" w:pos="0"/>
        </w:tabs>
        <w:spacing/>
        <w:ind w:hanging="360" w:left="5749"/>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69"/>
      </w:pPr>
      <w:rPr>
        <w:rFonts w:hint="default" w:ascii="Wingdings" w:hAnsi="Wingdings" w:cs="Wingdings"/>
      </w:rPr>
      <w:start w:val="1"/>
      <w:suff w:val="tab"/>
    </w:lvl>
  </w:abstractNum>
  <w:abstractNum w:abstractNumId="27">
    <w:lvl w:ilvl="0">
      <w:isLgl w:val="true"/>
      <w:lvlJc w:val="left"/>
      <w:lvlText w:val="·"/>
      <w:numFmt w:val="bullet"/>
      <w:pPr>
        <w:pBdr/>
        <w:tabs>
          <w:tab w:val="num" w:leader="none" w:pos="0"/>
        </w:tabs>
        <w:spacing/>
        <w:ind w:hanging="360" w:left="709"/>
      </w:pPr>
      <w:rPr>
        <w:rFonts w:hint="default" w:ascii="Symbol" w:hAnsi="Symbol" w:cs="Symbol"/>
      </w:rPr>
      <w:start w:val="1"/>
      <w:suff w:val="tab"/>
    </w:lvl>
    <w:lvl w:ilvl="1">
      <w:isLgl w:val="true"/>
      <w:lvlJc w:val="left"/>
      <w:lvlText w:val="o"/>
      <w:numFmt w:val="bullet"/>
      <w:pPr>
        <w:pBdr/>
        <w:tabs>
          <w:tab w:val="num" w:leader="none" w:pos="0"/>
        </w:tabs>
        <w:spacing/>
        <w:ind w:hanging="360" w:left="1429"/>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49"/>
      </w:pPr>
      <w:rPr>
        <w:rFonts w:hint="default" w:ascii="Wingdings" w:hAnsi="Wingdings" w:cs="Wingdings"/>
      </w:rPr>
      <w:start w:val="1"/>
      <w:suff w:val="tab"/>
    </w:lvl>
    <w:lvl w:ilvl="3">
      <w:isLgl w:val="true"/>
      <w:lvlJc w:val="left"/>
      <w:lvlText w:val="·"/>
      <w:numFmt w:val="bullet"/>
      <w:pPr>
        <w:pBdr/>
        <w:tabs>
          <w:tab w:val="num" w:leader="none" w:pos="0"/>
        </w:tabs>
        <w:spacing/>
        <w:ind w:hanging="360" w:left="2869"/>
      </w:pPr>
      <w:rPr>
        <w:rFonts w:hint="default" w:ascii="Symbol" w:hAnsi="Symbol" w:cs="Symbol"/>
      </w:rPr>
      <w:start w:val="1"/>
      <w:suff w:val="tab"/>
    </w:lvl>
    <w:lvl w:ilvl="4">
      <w:isLgl w:val="true"/>
      <w:lvlJc w:val="left"/>
      <w:lvlText w:val="o"/>
      <w:numFmt w:val="bullet"/>
      <w:pPr>
        <w:pBdr/>
        <w:tabs>
          <w:tab w:val="num" w:leader="none" w:pos="0"/>
        </w:tabs>
        <w:spacing/>
        <w:ind w:hanging="360" w:left="3589"/>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09"/>
      </w:pPr>
      <w:rPr>
        <w:rFonts w:hint="default" w:ascii="Wingdings" w:hAnsi="Wingdings" w:cs="Wingdings"/>
      </w:rPr>
      <w:start w:val="1"/>
      <w:suff w:val="tab"/>
    </w:lvl>
    <w:lvl w:ilvl="6">
      <w:isLgl w:val="true"/>
      <w:lvlJc w:val="left"/>
      <w:lvlText w:val="·"/>
      <w:numFmt w:val="bullet"/>
      <w:pPr>
        <w:pBdr/>
        <w:tabs>
          <w:tab w:val="num" w:leader="none" w:pos="0"/>
        </w:tabs>
        <w:spacing/>
        <w:ind w:hanging="360" w:left="5029"/>
      </w:pPr>
      <w:rPr>
        <w:rFonts w:hint="default" w:ascii="Symbol" w:hAnsi="Symbol" w:cs="Symbol"/>
      </w:rPr>
      <w:start w:val="1"/>
      <w:suff w:val="tab"/>
    </w:lvl>
    <w:lvl w:ilvl="7">
      <w:isLgl w:val="true"/>
      <w:lvlJc w:val="left"/>
      <w:lvlText w:val="o"/>
      <w:numFmt w:val="bullet"/>
      <w:pPr>
        <w:pBdr/>
        <w:tabs>
          <w:tab w:val="num" w:leader="none" w:pos="0"/>
        </w:tabs>
        <w:spacing/>
        <w:ind w:hanging="360" w:left="5749"/>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69"/>
      </w:pPr>
      <w:rPr>
        <w:rFonts w:hint="default" w:ascii="Wingdings" w:hAnsi="Wingdings" w:cs="Wingdings"/>
      </w:rPr>
      <w:start w:val="1"/>
      <w:suff w:val="tab"/>
    </w:lvl>
  </w:abstractNum>
  <w:abstractNum w:abstractNumId="28">
    <w:lvl w:ilvl="0">
      <w:isLgl w:val="true"/>
      <w:lvlJc w:val="left"/>
      <w:lvlText w:val="·"/>
      <w:numFmt w:val="bullet"/>
      <w:pPr>
        <w:pBdr/>
        <w:tabs>
          <w:tab w:val="num" w:leader="none" w:pos="0"/>
        </w:tabs>
        <w:spacing/>
        <w:ind w:hanging="360" w:left="709"/>
      </w:pPr>
      <w:rPr>
        <w:rFonts w:hint="default" w:ascii="Symbol" w:hAnsi="Symbol" w:cs="Symbol"/>
      </w:rPr>
      <w:start w:val="1"/>
      <w:suff w:val="tab"/>
    </w:lvl>
    <w:lvl w:ilvl="1">
      <w:isLgl w:val="true"/>
      <w:lvlJc w:val="left"/>
      <w:lvlText w:val="o"/>
      <w:numFmt w:val="bullet"/>
      <w:pPr>
        <w:pBdr/>
        <w:tabs>
          <w:tab w:val="num" w:leader="none" w:pos="0"/>
        </w:tabs>
        <w:spacing/>
        <w:ind w:hanging="360" w:left="1429"/>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49"/>
      </w:pPr>
      <w:rPr>
        <w:rFonts w:hint="default" w:ascii="Wingdings" w:hAnsi="Wingdings" w:cs="Wingdings"/>
      </w:rPr>
      <w:start w:val="1"/>
      <w:suff w:val="tab"/>
    </w:lvl>
    <w:lvl w:ilvl="3">
      <w:isLgl w:val="true"/>
      <w:lvlJc w:val="left"/>
      <w:lvlText w:val="·"/>
      <w:numFmt w:val="bullet"/>
      <w:pPr>
        <w:pBdr/>
        <w:tabs>
          <w:tab w:val="num" w:leader="none" w:pos="0"/>
        </w:tabs>
        <w:spacing/>
        <w:ind w:hanging="360" w:left="2869"/>
      </w:pPr>
      <w:rPr>
        <w:rFonts w:hint="default" w:ascii="Symbol" w:hAnsi="Symbol" w:cs="Symbol"/>
      </w:rPr>
      <w:start w:val="1"/>
      <w:suff w:val="tab"/>
    </w:lvl>
    <w:lvl w:ilvl="4">
      <w:isLgl w:val="true"/>
      <w:lvlJc w:val="left"/>
      <w:lvlText w:val="o"/>
      <w:numFmt w:val="bullet"/>
      <w:pPr>
        <w:pBdr/>
        <w:tabs>
          <w:tab w:val="num" w:leader="none" w:pos="0"/>
        </w:tabs>
        <w:spacing/>
        <w:ind w:hanging="360" w:left="3589"/>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09"/>
      </w:pPr>
      <w:rPr>
        <w:rFonts w:hint="default" w:ascii="Wingdings" w:hAnsi="Wingdings" w:cs="Wingdings"/>
      </w:rPr>
      <w:start w:val="1"/>
      <w:suff w:val="tab"/>
    </w:lvl>
    <w:lvl w:ilvl="6">
      <w:isLgl w:val="true"/>
      <w:lvlJc w:val="left"/>
      <w:lvlText w:val="·"/>
      <w:numFmt w:val="bullet"/>
      <w:pPr>
        <w:pBdr/>
        <w:tabs>
          <w:tab w:val="num" w:leader="none" w:pos="0"/>
        </w:tabs>
        <w:spacing/>
        <w:ind w:hanging="360" w:left="5029"/>
      </w:pPr>
      <w:rPr>
        <w:rFonts w:hint="default" w:ascii="Symbol" w:hAnsi="Symbol" w:cs="Symbol"/>
      </w:rPr>
      <w:start w:val="1"/>
      <w:suff w:val="tab"/>
    </w:lvl>
    <w:lvl w:ilvl="7">
      <w:isLgl w:val="true"/>
      <w:lvlJc w:val="left"/>
      <w:lvlText w:val="o"/>
      <w:numFmt w:val="bullet"/>
      <w:pPr>
        <w:pBdr/>
        <w:tabs>
          <w:tab w:val="num" w:leader="none" w:pos="0"/>
        </w:tabs>
        <w:spacing/>
        <w:ind w:hanging="360" w:left="5749"/>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69"/>
      </w:pPr>
      <w:rPr>
        <w:rFonts w:hint="default" w:ascii="Wingdings" w:hAnsi="Wingdings" w:cs="Wingdings"/>
      </w:rPr>
      <w:start w:val="1"/>
      <w:suff w:val="tab"/>
    </w:lvl>
  </w:abstractNum>
  <w:abstractNum w:abstractNumId="29">
    <w:lvl w:ilvl="0">
      <w:isLgl w:val="true"/>
      <w:lvlJc w:val="left"/>
      <w:lvlText w:val="·"/>
      <w:numFmt w:val="bullet"/>
      <w:pPr>
        <w:pBdr/>
        <w:tabs>
          <w:tab w:val="num" w:leader="none" w:pos="0"/>
        </w:tabs>
        <w:spacing/>
        <w:ind w:hanging="360" w:left="709"/>
      </w:pPr>
      <w:rPr>
        <w:rFonts w:hint="default" w:ascii="Symbol" w:hAnsi="Symbol" w:cs="Symbol"/>
      </w:rPr>
      <w:start w:val="1"/>
      <w:suff w:val="tab"/>
    </w:lvl>
    <w:lvl w:ilvl="1">
      <w:isLgl w:val="true"/>
      <w:lvlJc w:val="left"/>
      <w:lvlText w:val="o"/>
      <w:numFmt w:val="bullet"/>
      <w:pPr>
        <w:pBdr/>
        <w:tabs>
          <w:tab w:val="num" w:leader="none" w:pos="0"/>
        </w:tabs>
        <w:spacing/>
        <w:ind w:hanging="360" w:left="1429"/>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49"/>
      </w:pPr>
      <w:rPr>
        <w:rFonts w:hint="default" w:ascii="Wingdings" w:hAnsi="Wingdings" w:cs="Wingdings"/>
      </w:rPr>
      <w:start w:val="1"/>
      <w:suff w:val="tab"/>
    </w:lvl>
    <w:lvl w:ilvl="3">
      <w:isLgl w:val="true"/>
      <w:lvlJc w:val="left"/>
      <w:lvlText w:val="·"/>
      <w:numFmt w:val="bullet"/>
      <w:pPr>
        <w:pBdr/>
        <w:tabs>
          <w:tab w:val="num" w:leader="none" w:pos="0"/>
        </w:tabs>
        <w:spacing/>
        <w:ind w:hanging="360" w:left="2869"/>
      </w:pPr>
      <w:rPr>
        <w:rFonts w:hint="default" w:ascii="Symbol" w:hAnsi="Symbol" w:cs="Symbol"/>
      </w:rPr>
      <w:start w:val="1"/>
      <w:suff w:val="tab"/>
    </w:lvl>
    <w:lvl w:ilvl="4">
      <w:isLgl w:val="true"/>
      <w:lvlJc w:val="left"/>
      <w:lvlText w:val="o"/>
      <w:numFmt w:val="bullet"/>
      <w:pPr>
        <w:pBdr/>
        <w:tabs>
          <w:tab w:val="num" w:leader="none" w:pos="0"/>
        </w:tabs>
        <w:spacing/>
        <w:ind w:hanging="360" w:left="3589"/>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09"/>
      </w:pPr>
      <w:rPr>
        <w:rFonts w:hint="default" w:ascii="Wingdings" w:hAnsi="Wingdings" w:cs="Wingdings"/>
      </w:rPr>
      <w:start w:val="1"/>
      <w:suff w:val="tab"/>
    </w:lvl>
    <w:lvl w:ilvl="6">
      <w:isLgl w:val="true"/>
      <w:lvlJc w:val="left"/>
      <w:lvlText w:val="·"/>
      <w:numFmt w:val="bullet"/>
      <w:pPr>
        <w:pBdr/>
        <w:tabs>
          <w:tab w:val="num" w:leader="none" w:pos="0"/>
        </w:tabs>
        <w:spacing/>
        <w:ind w:hanging="360" w:left="5029"/>
      </w:pPr>
      <w:rPr>
        <w:rFonts w:hint="default" w:ascii="Symbol" w:hAnsi="Symbol" w:cs="Symbol"/>
      </w:rPr>
      <w:start w:val="1"/>
      <w:suff w:val="tab"/>
    </w:lvl>
    <w:lvl w:ilvl="7">
      <w:isLgl w:val="true"/>
      <w:lvlJc w:val="left"/>
      <w:lvlText w:val="o"/>
      <w:numFmt w:val="bullet"/>
      <w:pPr>
        <w:pBdr/>
        <w:tabs>
          <w:tab w:val="num" w:leader="none" w:pos="0"/>
        </w:tabs>
        <w:spacing/>
        <w:ind w:hanging="360" w:left="5749"/>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69"/>
      </w:pPr>
      <w:rPr>
        <w:rFonts w:hint="default" w:ascii="Wingdings" w:hAnsi="Wingdings" w:cs="Wingdings"/>
      </w:rPr>
      <w:start w:val="1"/>
      <w:suff w:val="tab"/>
    </w:lvl>
  </w:abstractNum>
  <w:abstractNum w:abstractNumId="30">
    <w:lvl w:ilvl="0">
      <w:isLgl w:val="true"/>
      <w:lvlJc w:val="left"/>
      <w:lvlText w:val="·"/>
      <w:numFmt w:val="bullet"/>
      <w:pPr>
        <w:pBdr/>
        <w:tabs>
          <w:tab w:val="num" w:leader="none" w:pos="0"/>
        </w:tabs>
        <w:spacing/>
        <w:ind w:hanging="360" w:left="709"/>
      </w:pPr>
      <w:rPr>
        <w:rFonts w:hint="default" w:ascii="Symbol" w:hAnsi="Symbol" w:cs="Symbol"/>
      </w:rPr>
      <w:start w:val="1"/>
      <w:suff w:val="tab"/>
    </w:lvl>
    <w:lvl w:ilvl="1">
      <w:isLgl w:val="true"/>
      <w:lvlJc w:val="left"/>
      <w:lvlText w:val="o"/>
      <w:numFmt w:val="bullet"/>
      <w:pPr>
        <w:pBdr/>
        <w:tabs>
          <w:tab w:val="num" w:leader="none" w:pos="0"/>
        </w:tabs>
        <w:spacing/>
        <w:ind w:hanging="360" w:left="1429"/>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49"/>
      </w:pPr>
      <w:rPr>
        <w:rFonts w:hint="default" w:ascii="Wingdings" w:hAnsi="Wingdings" w:cs="Wingdings"/>
      </w:rPr>
      <w:start w:val="1"/>
      <w:suff w:val="tab"/>
    </w:lvl>
    <w:lvl w:ilvl="3">
      <w:isLgl w:val="true"/>
      <w:lvlJc w:val="left"/>
      <w:lvlText w:val="·"/>
      <w:numFmt w:val="bullet"/>
      <w:pPr>
        <w:pBdr/>
        <w:tabs>
          <w:tab w:val="num" w:leader="none" w:pos="0"/>
        </w:tabs>
        <w:spacing/>
        <w:ind w:hanging="360" w:left="2869"/>
      </w:pPr>
      <w:rPr>
        <w:rFonts w:hint="default" w:ascii="Symbol" w:hAnsi="Symbol" w:cs="Symbol"/>
      </w:rPr>
      <w:start w:val="1"/>
      <w:suff w:val="tab"/>
    </w:lvl>
    <w:lvl w:ilvl="4">
      <w:isLgl w:val="true"/>
      <w:lvlJc w:val="left"/>
      <w:lvlText w:val="o"/>
      <w:numFmt w:val="bullet"/>
      <w:pPr>
        <w:pBdr/>
        <w:tabs>
          <w:tab w:val="num" w:leader="none" w:pos="0"/>
        </w:tabs>
        <w:spacing/>
        <w:ind w:hanging="360" w:left="3589"/>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09"/>
      </w:pPr>
      <w:rPr>
        <w:rFonts w:hint="default" w:ascii="Wingdings" w:hAnsi="Wingdings" w:cs="Wingdings"/>
      </w:rPr>
      <w:start w:val="1"/>
      <w:suff w:val="tab"/>
    </w:lvl>
    <w:lvl w:ilvl="6">
      <w:isLgl w:val="true"/>
      <w:lvlJc w:val="left"/>
      <w:lvlText w:val="·"/>
      <w:numFmt w:val="bullet"/>
      <w:pPr>
        <w:pBdr/>
        <w:tabs>
          <w:tab w:val="num" w:leader="none" w:pos="0"/>
        </w:tabs>
        <w:spacing/>
        <w:ind w:hanging="360" w:left="5029"/>
      </w:pPr>
      <w:rPr>
        <w:rFonts w:hint="default" w:ascii="Symbol" w:hAnsi="Symbol" w:cs="Symbol"/>
      </w:rPr>
      <w:start w:val="1"/>
      <w:suff w:val="tab"/>
    </w:lvl>
    <w:lvl w:ilvl="7">
      <w:isLgl w:val="true"/>
      <w:lvlJc w:val="left"/>
      <w:lvlText w:val="o"/>
      <w:numFmt w:val="bullet"/>
      <w:pPr>
        <w:pBdr/>
        <w:tabs>
          <w:tab w:val="num" w:leader="none" w:pos="0"/>
        </w:tabs>
        <w:spacing/>
        <w:ind w:hanging="360" w:left="5749"/>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69"/>
      </w:pPr>
      <w:rPr>
        <w:rFonts w:hint="default" w:ascii="Wingdings" w:hAnsi="Wingdings" w:cs="Wingdings"/>
      </w:rPr>
      <w:start w:val="1"/>
      <w:suff w:val="tab"/>
    </w:lvl>
  </w:abstractNum>
  <w:abstractNum w:abstractNumId="31">
    <w:lvl w:ilvl="0">
      <w:isLgl w:val="true"/>
      <w:lvlJc w:val="left"/>
      <w:lvlText w:val="·"/>
      <w:numFmt w:val="bullet"/>
      <w:pPr>
        <w:pBdr/>
        <w:tabs>
          <w:tab w:val="num" w:leader="none" w:pos="0"/>
        </w:tabs>
        <w:spacing/>
        <w:ind w:hanging="360" w:left="709"/>
      </w:pPr>
      <w:rPr>
        <w:rFonts w:hint="default" w:ascii="Symbol" w:hAnsi="Symbol" w:cs="Symbol"/>
      </w:rPr>
      <w:start w:val="1"/>
      <w:suff w:val="tab"/>
    </w:lvl>
    <w:lvl w:ilvl="1">
      <w:isLgl w:val="true"/>
      <w:lvlJc w:val="left"/>
      <w:lvlText w:val="o"/>
      <w:numFmt w:val="bullet"/>
      <w:pPr>
        <w:pBdr/>
        <w:tabs>
          <w:tab w:val="num" w:leader="none" w:pos="0"/>
        </w:tabs>
        <w:spacing/>
        <w:ind w:hanging="360" w:left="1429"/>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49"/>
      </w:pPr>
      <w:rPr>
        <w:rFonts w:hint="default" w:ascii="Wingdings" w:hAnsi="Wingdings" w:cs="Wingdings"/>
      </w:rPr>
      <w:start w:val="1"/>
      <w:suff w:val="tab"/>
    </w:lvl>
    <w:lvl w:ilvl="3">
      <w:isLgl w:val="true"/>
      <w:lvlJc w:val="left"/>
      <w:lvlText w:val="·"/>
      <w:numFmt w:val="bullet"/>
      <w:pPr>
        <w:pBdr/>
        <w:tabs>
          <w:tab w:val="num" w:leader="none" w:pos="0"/>
        </w:tabs>
        <w:spacing/>
        <w:ind w:hanging="360" w:left="2869"/>
      </w:pPr>
      <w:rPr>
        <w:rFonts w:hint="default" w:ascii="Symbol" w:hAnsi="Symbol" w:cs="Symbol"/>
      </w:rPr>
      <w:start w:val="1"/>
      <w:suff w:val="tab"/>
    </w:lvl>
    <w:lvl w:ilvl="4">
      <w:isLgl w:val="true"/>
      <w:lvlJc w:val="left"/>
      <w:lvlText w:val="o"/>
      <w:numFmt w:val="bullet"/>
      <w:pPr>
        <w:pBdr/>
        <w:tabs>
          <w:tab w:val="num" w:leader="none" w:pos="0"/>
        </w:tabs>
        <w:spacing/>
        <w:ind w:hanging="360" w:left="3589"/>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09"/>
      </w:pPr>
      <w:rPr>
        <w:rFonts w:hint="default" w:ascii="Wingdings" w:hAnsi="Wingdings" w:cs="Wingdings"/>
      </w:rPr>
      <w:start w:val="1"/>
      <w:suff w:val="tab"/>
    </w:lvl>
    <w:lvl w:ilvl="6">
      <w:isLgl w:val="true"/>
      <w:lvlJc w:val="left"/>
      <w:lvlText w:val="·"/>
      <w:numFmt w:val="bullet"/>
      <w:pPr>
        <w:pBdr/>
        <w:tabs>
          <w:tab w:val="num" w:leader="none" w:pos="0"/>
        </w:tabs>
        <w:spacing/>
        <w:ind w:hanging="360" w:left="5029"/>
      </w:pPr>
      <w:rPr>
        <w:rFonts w:hint="default" w:ascii="Symbol" w:hAnsi="Symbol" w:cs="Symbol"/>
      </w:rPr>
      <w:start w:val="1"/>
      <w:suff w:val="tab"/>
    </w:lvl>
    <w:lvl w:ilvl="7">
      <w:isLgl w:val="true"/>
      <w:lvlJc w:val="left"/>
      <w:lvlText w:val="o"/>
      <w:numFmt w:val="bullet"/>
      <w:pPr>
        <w:pBdr/>
        <w:tabs>
          <w:tab w:val="num" w:leader="none" w:pos="0"/>
        </w:tabs>
        <w:spacing/>
        <w:ind w:hanging="360" w:left="5749"/>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69"/>
      </w:pPr>
      <w:rPr>
        <w:rFonts w:hint="default" w:ascii="Wingdings" w:hAnsi="Wingdings" w:cs="Wingdings"/>
      </w:rPr>
      <w:start w:val="1"/>
      <w:suff w:val="tab"/>
    </w:lvl>
  </w:abstractNum>
  <w:abstractNum w:abstractNumId="32">
    <w:lvl w:ilvl="0">
      <w:isLgl w:val="true"/>
      <w:lvlJc w:val="left"/>
      <w:lvlText w:val="·"/>
      <w:numFmt w:val="bullet"/>
      <w:pPr>
        <w:pBdr/>
        <w:tabs>
          <w:tab w:val="num" w:leader="none" w:pos="0"/>
        </w:tabs>
        <w:spacing/>
        <w:ind w:hanging="360" w:left="709"/>
      </w:pPr>
      <w:rPr>
        <w:rFonts w:hint="default" w:ascii="Symbol" w:hAnsi="Symbol" w:cs="Symbol"/>
      </w:rPr>
      <w:start w:val="1"/>
      <w:suff w:val="tab"/>
    </w:lvl>
    <w:lvl w:ilvl="1">
      <w:isLgl w:val="true"/>
      <w:lvlJc w:val="left"/>
      <w:lvlText w:val="o"/>
      <w:numFmt w:val="bullet"/>
      <w:pPr>
        <w:pBdr/>
        <w:tabs>
          <w:tab w:val="num" w:leader="none" w:pos="0"/>
        </w:tabs>
        <w:spacing/>
        <w:ind w:hanging="360" w:left="1429"/>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49"/>
      </w:pPr>
      <w:rPr>
        <w:rFonts w:hint="default" w:ascii="Wingdings" w:hAnsi="Wingdings" w:cs="Wingdings"/>
      </w:rPr>
      <w:start w:val="1"/>
      <w:suff w:val="tab"/>
    </w:lvl>
    <w:lvl w:ilvl="3">
      <w:isLgl w:val="true"/>
      <w:lvlJc w:val="left"/>
      <w:lvlText w:val="·"/>
      <w:numFmt w:val="bullet"/>
      <w:pPr>
        <w:pBdr/>
        <w:tabs>
          <w:tab w:val="num" w:leader="none" w:pos="0"/>
        </w:tabs>
        <w:spacing/>
        <w:ind w:hanging="360" w:left="2869"/>
      </w:pPr>
      <w:rPr>
        <w:rFonts w:hint="default" w:ascii="Symbol" w:hAnsi="Symbol" w:cs="Symbol"/>
      </w:rPr>
      <w:start w:val="1"/>
      <w:suff w:val="tab"/>
    </w:lvl>
    <w:lvl w:ilvl="4">
      <w:isLgl w:val="true"/>
      <w:lvlJc w:val="left"/>
      <w:lvlText w:val="o"/>
      <w:numFmt w:val="bullet"/>
      <w:pPr>
        <w:pBdr/>
        <w:tabs>
          <w:tab w:val="num" w:leader="none" w:pos="0"/>
        </w:tabs>
        <w:spacing/>
        <w:ind w:hanging="360" w:left="3589"/>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09"/>
      </w:pPr>
      <w:rPr>
        <w:rFonts w:hint="default" w:ascii="Wingdings" w:hAnsi="Wingdings" w:cs="Wingdings"/>
      </w:rPr>
      <w:start w:val="1"/>
      <w:suff w:val="tab"/>
    </w:lvl>
    <w:lvl w:ilvl="6">
      <w:isLgl w:val="true"/>
      <w:lvlJc w:val="left"/>
      <w:lvlText w:val="·"/>
      <w:numFmt w:val="bullet"/>
      <w:pPr>
        <w:pBdr/>
        <w:tabs>
          <w:tab w:val="num" w:leader="none" w:pos="0"/>
        </w:tabs>
        <w:spacing/>
        <w:ind w:hanging="360" w:left="5029"/>
      </w:pPr>
      <w:rPr>
        <w:rFonts w:hint="default" w:ascii="Symbol" w:hAnsi="Symbol" w:cs="Symbol"/>
      </w:rPr>
      <w:start w:val="1"/>
      <w:suff w:val="tab"/>
    </w:lvl>
    <w:lvl w:ilvl="7">
      <w:isLgl w:val="true"/>
      <w:lvlJc w:val="left"/>
      <w:lvlText w:val="o"/>
      <w:numFmt w:val="bullet"/>
      <w:pPr>
        <w:pBdr/>
        <w:tabs>
          <w:tab w:val="num" w:leader="none" w:pos="0"/>
        </w:tabs>
        <w:spacing/>
        <w:ind w:hanging="360" w:left="5749"/>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69"/>
      </w:pPr>
      <w:rPr>
        <w:rFonts w:hint="default" w:ascii="Wingdings" w:hAnsi="Wingdings" w:cs="Wingdings"/>
      </w:rPr>
      <w:start w:val="1"/>
      <w:suff w:val="tab"/>
    </w:lvl>
  </w:abstractNum>
  <w:abstractNum w:abstractNumId="33">
    <w:lvl w:ilvl="0">
      <w:isLgl w:val="true"/>
      <w:lvlJc w:val="left"/>
      <w:lvlText w:val="·"/>
      <w:numFmt w:val="bullet"/>
      <w:pPr>
        <w:pBdr/>
        <w:tabs>
          <w:tab w:val="num" w:leader="none" w:pos="0"/>
        </w:tabs>
        <w:spacing/>
        <w:ind w:hanging="360" w:left="709"/>
      </w:pPr>
      <w:rPr>
        <w:rFonts w:hint="default" w:ascii="Symbol" w:hAnsi="Symbol" w:cs="Symbol"/>
      </w:rPr>
      <w:start w:val="1"/>
      <w:suff w:val="tab"/>
    </w:lvl>
    <w:lvl w:ilvl="1">
      <w:isLgl w:val="true"/>
      <w:lvlJc w:val="left"/>
      <w:lvlText w:val="o"/>
      <w:numFmt w:val="bullet"/>
      <w:pPr>
        <w:pBdr/>
        <w:tabs>
          <w:tab w:val="num" w:leader="none" w:pos="0"/>
        </w:tabs>
        <w:spacing/>
        <w:ind w:hanging="360" w:left="1429"/>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49"/>
      </w:pPr>
      <w:rPr>
        <w:rFonts w:hint="default" w:ascii="Wingdings" w:hAnsi="Wingdings" w:cs="Wingdings"/>
      </w:rPr>
      <w:start w:val="1"/>
      <w:suff w:val="tab"/>
    </w:lvl>
    <w:lvl w:ilvl="3">
      <w:isLgl w:val="true"/>
      <w:lvlJc w:val="left"/>
      <w:lvlText w:val="·"/>
      <w:numFmt w:val="bullet"/>
      <w:pPr>
        <w:pBdr/>
        <w:tabs>
          <w:tab w:val="num" w:leader="none" w:pos="0"/>
        </w:tabs>
        <w:spacing/>
        <w:ind w:hanging="360" w:left="2869"/>
      </w:pPr>
      <w:rPr>
        <w:rFonts w:hint="default" w:ascii="Symbol" w:hAnsi="Symbol" w:cs="Symbol"/>
      </w:rPr>
      <w:start w:val="1"/>
      <w:suff w:val="tab"/>
    </w:lvl>
    <w:lvl w:ilvl="4">
      <w:isLgl w:val="true"/>
      <w:lvlJc w:val="left"/>
      <w:lvlText w:val="o"/>
      <w:numFmt w:val="bullet"/>
      <w:pPr>
        <w:pBdr/>
        <w:tabs>
          <w:tab w:val="num" w:leader="none" w:pos="0"/>
        </w:tabs>
        <w:spacing/>
        <w:ind w:hanging="360" w:left="3589"/>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09"/>
      </w:pPr>
      <w:rPr>
        <w:rFonts w:hint="default" w:ascii="Wingdings" w:hAnsi="Wingdings" w:cs="Wingdings"/>
      </w:rPr>
      <w:start w:val="1"/>
      <w:suff w:val="tab"/>
    </w:lvl>
    <w:lvl w:ilvl="6">
      <w:isLgl w:val="true"/>
      <w:lvlJc w:val="left"/>
      <w:lvlText w:val="·"/>
      <w:numFmt w:val="bullet"/>
      <w:pPr>
        <w:pBdr/>
        <w:tabs>
          <w:tab w:val="num" w:leader="none" w:pos="0"/>
        </w:tabs>
        <w:spacing/>
        <w:ind w:hanging="360" w:left="5029"/>
      </w:pPr>
      <w:rPr>
        <w:rFonts w:hint="default" w:ascii="Symbol" w:hAnsi="Symbol" w:cs="Symbol"/>
      </w:rPr>
      <w:start w:val="1"/>
      <w:suff w:val="tab"/>
    </w:lvl>
    <w:lvl w:ilvl="7">
      <w:isLgl w:val="true"/>
      <w:lvlJc w:val="left"/>
      <w:lvlText w:val="o"/>
      <w:numFmt w:val="bullet"/>
      <w:pPr>
        <w:pBdr/>
        <w:tabs>
          <w:tab w:val="num" w:leader="none" w:pos="0"/>
        </w:tabs>
        <w:spacing/>
        <w:ind w:hanging="360" w:left="5749"/>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69"/>
      </w:pPr>
      <w:rPr>
        <w:rFonts w:hint="default" w:ascii="Wingdings" w:hAnsi="Wingdings" w:cs="Wingdings"/>
      </w:rPr>
      <w:start w:val="1"/>
      <w:suff w:val="tab"/>
    </w:lvl>
  </w:abstractNum>
  <w:abstractNum w:abstractNumId="34">
    <w:lvl w:ilvl="0">
      <w:isLgl w:val="true"/>
      <w:lvlJc w:val="left"/>
      <w:lvlText w:val="·"/>
      <w:numFmt w:val="bullet"/>
      <w:pPr>
        <w:pBdr/>
        <w:tabs>
          <w:tab w:val="num" w:leader="none" w:pos="0"/>
        </w:tabs>
        <w:spacing/>
        <w:ind w:hanging="360" w:left="709"/>
      </w:pPr>
      <w:rPr>
        <w:rFonts w:hint="default" w:ascii="Symbol" w:hAnsi="Symbol" w:cs="Symbol"/>
      </w:rPr>
      <w:start w:val="1"/>
      <w:suff w:val="tab"/>
    </w:lvl>
    <w:lvl w:ilvl="1">
      <w:isLgl w:val="true"/>
      <w:lvlJc w:val="left"/>
      <w:lvlText w:val="o"/>
      <w:numFmt w:val="bullet"/>
      <w:pPr>
        <w:pBdr/>
        <w:tabs>
          <w:tab w:val="num" w:leader="none" w:pos="0"/>
        </w:tabs>
        <w:spacing/>
        <w:ind w:hanging="360" w:left="1429"/>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49"/>
      </w:pPr>
      <w:rPr>
        <w:rFonts w:hint="default" w:ascii="Wingdings" w:hAnsi="Wingdings" w:cs="Wingdings"/>
      </w:rPr>
      <w:start w:val="1"/>
      <w:suff w:val="tab"/>
    </w:lvl>
    <w:lvl w:ilvl="3">
      <w:isLgl w:val="true"/>
      <w:lvlJc w:val="left"/>
      <w:lvlText w:val="·"/>
      <w:numFmt w:val="bullet"/>
      <w:pPr>
        <w:pBdr/>
        <w:tabs>
          <w:tab w:val="num" w:leader="none" w:pos="0"/>
        </w:tabs>
        <w:spacing/>
        <w:ind w:hanging="360" w:left="2869"/>
      </w:pPr>
      <w:rPr>
        <w:rFonts w:hint="default" w:ascii="Symbol" w:hAnsi="Symbol" w:cs="Symbol"/>
      </w:rPr>
      <w:start w:val="1"/>
      <w:suff w:val="tab"/>
    </w:lvl>
    <w:lvl w:ilvl="4">
      <w:isLgl w:val="true"/>
      <w:lvlJc w:val="left"/>
      <w:lvlText w:val="o"/>
      <w:numFmt w:val="bullet"/>
      <w:pPr>
        <w:pBdr/>
        <w:tabs>
          <w:tab w:val="num" w:leader="none" w:pos="0"/>
        </w:tabs>
        <w:spacing/>
        <w:ind w:hanging="360" w:left="3589"/>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09"/>
      </w:pPr>
      <w:rPr>
        <w:rFonts w:hint="default" w:ascii="Wingdings" w:hAnsi="Wingdings" w:cs="Wingdings"/>
      </w:rPr>
      <w:start w:val="1"/>
      <w:suff w:val="tab"/>
    </w:lvl>
    <w:lvl w:ilvl="6">
      <w:isLgl w:val="true"/>
      <w:lvlJc w:val="left"/>
      <w:lvlText w:val="·"/>
      <w:numFmt w:val="bullet"/>
      <w:pPr>
        <w:pBdr/>
        <w:tabs>
          <w:tab w:val="num" w:leader="none" w:pos="0"/>
        </w:tabs>
        <w:spacing/>
        <w:ind w:hanging="360" w:left="5029"/>
      </w:pPr>
      <w:rPr>
        <w:rFonts w:hint="default" w:ascii="Symbol" w:hAnsi="Symbol" w:cs="Symbol"/>
      </w:rPr>
      <w:start w:val="1"/>
      <w:suff w:val="tab"/>
    </w:lvl>
    <w:lvl w:ilvl="7">
      <w:isLgl w:val="true"/>
      <w:lvlJc w:val="left"/>
      <w:lvlText w:val="o"/>
      <w:numFmt w:val="bullet"/>
      <w:pPr>
        <w:pBdr/>
        <w:tabs>
          <w:tab w:val="num" w:leader="none" w:pos="0"/>
        </w:tabs>
        <w:spacing/>
        <w:ind w:hanging="360" w:left="5749"/>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69"/>
      </w:pPr>
      <w:rPr>
        <w:rFonts w:hint="default" w:ascii="Wingdings" w:hAnsi="Wingdings" w:cs="Wingdings"/>
      </w:rPr>
      <w:start w:val="1"/>
      <w:suff w:val="tab"/>
    </w:lvl>
  </w:abstractNum>
  <w:abstractNum w:abstractNumId="35">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autoHyphenation w:val="true"/>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Arial" w:hAnsi="Arial" w:eastAsia="Arial" w:cs="Arial"/>
        <w:sz w:val="18"/>
        <w:szCs w:val="18"/>
        <w:lang w:val="pt-BR" w:eastAsia="pt-B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numbering" w:styleId="149" w:default="1">
    <w:name w:val="No List"/>
    <w:uiPriority w:val="99"/>
    <w:semiHidden/>
    <w:unhideWhenUsed/>
    <w:pPr>
      <w:pBdr/>
      <w:spacing/>
      <w:ind/>
    </w:pPr>
  </w:style>
  <w:style w:type="paragraph" w:styleId="1056" w:default="1">
    <w:name w:val="Normal"/>
    <w:qFormat/>
    <w:pPr>
      <w:widowControl w:val="true"/>
      <w:pBdr/>
      <w:bidi w:val="false"/>
      <w:spacing w:after="120" w:before="120"/>
      <w:ind/>
      <w:jc w:val="both"/>
    </w:pPr>
    <w:rPr>
      <w:rFonts w:ascii="Arial" w:hAnsi="Arial" w:eastAsia="Times New Roman" w:cs="Arial"/>
      <w:color w:val="auto"/>
      <w:sz w:val="18"/>
      <w:szCs w:val="18"/>
      <w:lang w:val="pt-BR" w:eastAsia="pt-BR" w:bidi="ar-SA"/>
    </w:rPr>
  </w:style>
  <w:style w:type="paragraph" w:styleId="1057">
    <w:name w:val="Heading 1"/>
    <w:basedOn w:val="1056"/>
    <w:next w:val="1056"/>
    <w:link w:val="1073"/>
    <w:uiPriority w:val="1"/>
    <w:qFormat/>
    <w:pPr>
      <w:keepNext w:val="true"/>
      <w:pBdr/>
      <w:spacing/>
      <w:ind/>
      <w:jc w:val="center"/>
      <w:outlineLvl w:val="0"/>
    </w:pPr>
    <w:rPr>
      <w:rFonts w:ascii="Tahoma" w:hAnsi="Tahoma"/>
      <w:b/>
      <w:sz w:val="28"/>
      <w:u w:val="single"/>
    </w:rPr>
  </w:style>
  <w:style w:type="paragraph" w:styleId="1058">
    <w:name w:val="Heading 2"/>
    <w:basedOn w:val="1056"/>
    <w:next w:val="1056"/>
    <w:link w:val="1074"/>
    <w:qFormat/>
    <w:pPr>
      <w:keepNext w:val="true"/>
      <w:pBdr/>
      <w:spacing/>
      <w:ind w:hanging="426" w:left="426"/>
      <w:outlineLvl w:val="1"/>
    </w:pPr>
    <w:rPr>
      <w:rFonts w:ascii="Tahoma" w:hAnsi="Tahoma"/>
      <w:sz w:val="24"/>
    </w:rPr>
  </w:style>
  <w:style w:type="paragraph" w:styleId="1059">
    <w:name w:val="Heading 3"/>
    <w:basedOn w:val="1056"/>
    <w:next w:val="1056"/>
    <w:link w:val="1075"/>
    <w:unhideWhenUsed/>
    <w:qFormat/>
    <w:pPr>
      <w:keepNext w:val="true"/>
      <w:keepLines w:val="true"/>
      <w:pBdr/>
      <w:spacing w:after="200" w:before="320"/>
      <w:ind/>
      <w:outlineLvl w:val="2"/>
    </w:pPr>
    <w:rPr>
      <w:rFonts w:eastAsia="Arial"/>
      <w:sz w:val="30"/>
      <w:szCs w:val="30"/>
    </w:rPr>
  </w:style>
  <w:style w:type="paragraph" w:styleId="1060">
    <w:name w:val="Heading 4"/>
    <w:basedOn w:val="1056"/>
    <w:next w:val="1056"/>
    <w:link w:val="1076"/>
    <w:qFormat/>
    <w:pPr>
      <w:keepNext w:val="true"/>
      <w:pBdr/>
      <w:spacing w:after="60" w:before="240"/>
      <w:ind/>
      <w:jc w:val="left"/>
      <w:outlineLvl w:val="3"/>
    </w:pPr>
    <w:rPr>
      <w:rFonts w:ascii="Calibri" w:hAnsi="Calibri" w:cs="Times New Roman"/>
      <w:b/>
      <w:bCs/>
      <w:sz w:val="28"/>
      <w:szCs w:val="28"/>
    </w:rPr>
  </w:style>
  <w:style w:type="paragraph" w:styleId="1061">
    <w:name w:val="Heading 5"/>
    <w:basedOn w:val="1056"/>
    <w:next w:val="1056"/>
    <w:link w:val="1077"/>
    <w:unhideWhenUsed/>
    <w:qFormat/>
    <w:pPr>
      <w:keepNext w:val="true"/>
      <w:keepLines w:val="true"/>
      <w:pBdr/>
      <w:spacing w:after="200" w:before="320"/>
      <w:ind/>
      <w:outlineLvl w:val="4"/>
    </w:pPr>
    <w:rPr>
      <w:rFonts w:eastAsia="Arial"/>
      <w:b/>
      <w:bCs/>
      <w:sz w:val="24"/>
      <w:szCs w:val="24"/>
    </w:rPr>
  </w:style>
  <w:style w:type="paragraph" w:styleId="1062">
    <w:name w:val="Heading 6"/>
    <w:basedOn w:val="1056"/>
    <w:next w:val="1056"/>
    <w:link w:val="1078"/>
    <w:unhideWhenUsed/>
    <w:qFormat/>
    <w:pPr>
      <w:keepNext w:val="true"/>
      <w:keepLines w:val="true"/>
      <w:pBdr/>
      <w:spacing w:after="200" w:before="320"/>
      <w:ind/>
      <w:outlineLvl w:val="5"/>
    </w:pPr>
    <w:rPr>
      <w:rFonts w:eastAsia="Arial"/>
      <w:b/>
      <w:bCs/>
      <w:sz w:val="22"/>
      <w:szCs w:val="22"/>
    </w:rPr>
  </w:style>
  <w:style w:type="paragraph" w:styleId="1063">
    <w:name w:val="Heading 7"/>
    <w:basedOn w:val="1056"/>
    <w:next w:val="1056"/>
    <w:link w:val="1079"/>
    <w:uiPriority w:val="9"/>
    <w:unhideWhenUsed/>
    <w:qFormat/>
    <w:pPr>
      <w:keepNext w:val="true"/>
      <w:keepLines w:val="true"/>
      <w:pBdr/>
      <w:spacing w:after="200" w:before="320"/>
      <w:ind/>
      <w:outlineLvl w:val="6"/>
    </w:pPr>
    <w:rPr>
      <w:rFonts w:eastAsia="Arial"/>
      <w:b/>
      <w:bCs/>
      <w:i/>
      <w:iCs/>
      <w:sz w:val="22"/>
      <w:szCs w:val="22"/>
    </w:rPr>
  </w:style>
  <w:style w:type="paragraph" w:styleId="1064">
    <w:name w:val="Heading 8"/>
    <w:basedOn w:val="1056"/>
    <w:next w:val="1056"/>
    <w:link w:val="1080"/>
    <w:uiPriority w:val="9"/>
    <w:unhideWhenUsed/>
    <w:qFormat/>
    <w:pPr>
      <w:keepNext w:val="true"/>
      <w:keepLines w:val="true"/>
      <w:pBdr/>
      <w:spacing w:after="200" w:before="320"/>
      <w:ind/>
      <w:outlineLvl w:val="7"/>
    </w:pPr>
    <w:rPr>
      <w:rFonts w:eastAsia="Arial"/>
      <w:i/>
      <w:iCs/>
      <w:sz w:val="22"/>
      <w:szCs w:val="22"/>
    </w:rPr>
  </w:style>
  <w:style w:type="paragraph" w:styleId="1065">
    <w:name w:val="Heading 9"/>
    <w:basedOn w:val="1056"/>
    <w:next w:val="1056"/>
    <w:link w:val="1081"/>
    <w:uiPriority w:val="9"/>
    <w:unhideWhenUsed/>
    <w:qFormat/>
    <w:pPr>
      <w:keepNext w:val="true"/>
      <w:keepLines w:val="true"/>
      <w:pBdr/>
      <w:spacing w:after="120" w:before="200"/>
      <w:ind/>
      <w:outlineLvl w:val="8"/>
    </w:pPr>
    <w:rPr>
      <w:rFonts w:ascii="Calibri Light" w:hAnsi="Calibri Light" w:eastAsia="Arial" w:cs="Arial" w:asciiTheme="majorHAnsi" w:hAnsiTheme="majorHAnsi" w:eastAsiaTheme="majorEastAsia" w:cstheme="majorBidi"/>
      <w:i/>
      <w:iCs/>
      <w:color w:val="404040" w:themeColor="text1" w:themeTint="BF"/>
      <w:sz w:val="20"/>
      <w:szCs w:val="20"/>
    </w:rPr>
  </w:style>
  <w:style w:type="character" w:styleId="1066">
    <w:name w:val="Intense Emphasis"/>
    <w:basedOn w:val="1072"/>
    <w:uiPriority w:val="21"/>
    <w:qFormat/>
    <w:pPr>
      <w:pBdr/>
      <w:spacing/>
      <w:ind/>
    </w:pPr>
    <w:rPr>
      <w:i/>
      <w:iCs/>
      <w:color w:val="0f4761" w:themeColor="accent1" w:themeShade="BF"/>
    </w:rPr>
  </w:style>
  <w:style w:type="character" w:styleId="1067">
    <w:name w:val="Intense Reference"/>
    <w:basedOn w:val="1072"/>
    <w:uiPriority w:val="32"/>
    <w:qFormat/>
    <w:pPr>
      <w:pBdr/>
      <w:spacing/>
      <w:ind/>
    </w:pPr>
    <w:rPr>
      <w:b/>
      <w:bCs/>
      <w:smallCaps/>
      <w:color w:val="0f4761" w:themeColor="accent1" w:themeShade="BF"/>
      <w:spacing w:val="5"/>
    </w:rPr>
  </w:style>
  <w:style w:type="character" w:styleId="1068">
    <w:name w:val="Subtle Emphasis"/>
    <w:basedOn w:val="1072"/>
    <w:uiPriority w:val="19"/>
    <w:qFormat/>
    <w:pPr>
      <w:pBdr/>
      <w:spacing/>
      <w:ind/>
    </w:pPr>
    <w:rPr>
      <w:i/>
      <w:iCs/>
      <w:color w:val="404040" w:themeColor="text1" w:themeTint="BF"/>
    </w:rPr>
  </w:style>
  <w:style w:type="character" w:styleId="1069">
    <w:name w:val="Subtle Reference"/>
    <w:basedOn w:val="1072"/>
    <w:uiPriority w:val="31"/>
    <w:qFormat/>
    <w:pPr>
      <w:pBdr/>
      <w:spacing/>
      <w:ind/>
    </w:pPr>
    <w:rPr>
      <w:smallCaps/>
      <w:color w:val="5a5a5a" w:themeColor="text1" w:themeTint="A5"/>
    </w:rPr>
  </w:style>
  <w:style w:type="character" w:styleId="1070">
    <w:name w:val="Book Title"/>
    <w:basedOn w:val="1072"/>
    <w:uiPriority w:val="33"/>
    <w:qFormat/>
    <w:pPr>
      <w:pBdr/>
      <w:spacing/>
      <w:ind/>
    </w:pPr>
    <w:rPr>
      <w:b/>
      <w:bCs/>
      <w:i/>
      <w:iCs/>
      <w:spacing w:val="5"/>
    </w:rPr>
  </w:style>
  <w:style w:type="character" w:styleId="1071">
    <w:name w:val="Placeholder Text"/>
    <w:basedOn w:val="1072"/>
    <w:uiPriority w:val="99"/>
    <w:semiHidden/>
    <w:qFormat/>
    <w:pPr>
      <w:pBdr/>
      <w:spacing/>
      <w:ind/>
    </w:pPr>
    <w:rPr>
      <w:color w:val="666666"/>
    </w:rPr>
  </w:style>
  <w:style w:type="character" w:styleId="1072" w:default="1">
    <w:name w:val="Default Paragraph Font"/>
    <w:uiPriority w:val="1"/>
    <w:semiHidden/>
    <w:unhideWhenUsed/>
    <w:qFormat/>
    <w:pPr>
      <w:pBdr/>
      <w:spacing/>
      <w:ind/>
    </w:pPr>
  </w:style>
  <w:style w:type="character" w:styleId="1073" w:customStyle="1">
    <w:name w:val="Título 1 Char"/>
    <w:basedOn w:val="1072"/>
    <w:uiPriority w:val="1"/>
    <w:qFormat/>
    <w:pPr>
      <w:pBdr/>
      <w:spacing/>
      <w:ind/>
    </w:pPr>
    <w:rPr>
      <w:rFonts w:ascii="Tahoma" w:hAnsi="Tahoma" w:eastAsia="Times New Roman"/>
      <w:b/>
      <w:sz w:val="28"/>
      <w:szCs w:val="18"/>
      <w:u w:val="single"/>
      <w:lang w:eastAsia="pt-BR"/>
    </w:rPr>
  </w:style>
  <w:style w:type="character" w:styleId="1074" w:customStyle="1">
    <w:name w:val="Título 2 Char"/>
    <w:basedOn w:val="1072"/>
    <w:qFormat/>
    <w:pPr>
      <w:pBdr/>
      <w:spacing/>
      <w:ind/>
    </w:pPr>
    <w:rPr>
      <w:rFonts w:ascii="Tahoma" w:hAnsi="Tahoma" w:eastAsia="Times New Roman"/>
      <w:sz w:val="24"/>
      <w:szCs w:val="18"/>
      <w:lang w:eastAsia="pt-BR"/>
    </w:rPr>
  </w:style>
  <w:style w:type="character" w:styleId="1075" w:customStyle="1">
    <w:name w:val="Título 3 Char"/>
    <w:basedOn w:val="1072"/>
    <w:uiPriority w:val="9"/>
    <w:qFormat/>
    <w:pPr>
      <w:pBdr/>
      <w:spacing/>
      <w:ind/>
    </w:pPr>
    <w:rPr>
      <w:rFonts w:ascii="Arial" w:hAnsi="Arial" w:eastAsia="Arial"/>
      <w:sz w:val="30"/>
      <w:szCs w:val="30"/>
      <w:lang w:eastAsia="pt-BR"/>
    </w:rPr>
  </w:style>
  <w:style w:type="character" w:styleId="1076" w:customStyle="1">
    <w:name w:val="Título 4 Char"/>
    <w:basedOn w:val="1072"/>
    <w:qFormat/>
    <w:pPr>
      <w:pBdr/>
      <w:spacing/>
      <w:ind/>
    </w:pPr>
    <w:rPr>
      <w:rFonts w:ascii="Calibri" w:hAnsi="Calibri" w:eastAsia="Times New Roman" w:cs="Times New Roman"/>
      <w:b/>
      <w:bCs/>
      <w:sz w:val="28"/>
      <w:szCs w:val="28"/>
      <w:lang w:eastAsia="pt-BR"/>
    </w:rPr>
  </w:style>
  <w:style w:type="character" w:styleId="1077" w:customStyle="1">
    <w:name w:val="Título 5 Char"/>
    <w:basedOn w:val="1072"/>
    <w:uiPriority w:val="9"/>
    <w:qFormat/>
    <w:pPr>
      <w:pBdr/>
      <w:spacing/>
      <w:ind/>
    </w:pPr>
    <w:rPr>
      <w:rFonts w:ascii="Arial" w:hAnsi="Arial" w:eastAsia="Arial"/>
      <w:b/>
      <w:bCs/>
      <w:sz w:val="24"/>
      <w:szCs w:val="24"/>
      <w:lang w:eastAsia="pt-BR"/>
    </w:rPr>
  </w:style>
  <w:style w:type="character" w:styleId="1078" w:customStyle="1">
    <w:name w:val="Título 6 Char"/>
    <w:basedOn w:val="1072"/>
    <w:uiPriority w:val="9"/>
    <w:qFormat/>
    <w:pPr>
      <w:pBdr/>
      <w:spacing/>
      <w:ind/>
    </w:pPr>
    <w:rPr>
      <w:rFonts w:ascii="Arial" w:hAnsi="Arial" w:eastAsia="Arial"/>
      <w:b/>
      <w:bCs/>
      <w:lang w:eastAsia="pt-BR"/>
    </w:rPr>
  </w:style>
  <w:style w:type="character" w:styleId="1079" w:customStyle="1">
    <w:name w:val="Título 7 Char"/>
    <w:basedOn w:val="1072"/>
    <w:uiPriority w:val="9"/>
    <w:qFormat/>
    <w:pPr>
      <w:pBdr/>
      <w:spacing/>
      <w:ind/>
    </w:pPr>
    <w:rPr>
      <w:rFonts w:ascii="Arial" w:hAnsi="Arial" w:eastAsia="Arial"/>
      <w:b/>
      <w:bCs/>
      <w:i/>
      <w:iCs/>
      <w:lang w:eastAsia="pt-BR"/>
    </w:rPr>
  </w:style>
  <w:style w:type="character" w:styleId="1080" w:customStyle="1">
    <w:name w:val="Título 8 Char"/>
    <w:basedOn w:val="1072"/>
    <w:uiPriority w:val="9"/>
    <w:qFormat/>
    <w:pPr>
      <w:pBdr/>
      <w:spacing/>
      <w:ind/>
    </w:pPr>
    <w:rPr>
      <w:rFonts w:ascii="Arial" w:hAnsi="Arial" w:eastAsia="Arial"/>
      <w:i/>
      <w:iCs/>
      <w:lang w:eastAsia="pt-BR"/>
    </w:rPr>
  </w:style>
  <w:style w:type="character" w:styleId="1081" w:customStyle="1">
    <w:name w:val="Título 9 Char"/>
    <w:basedOn w:val="1072"/>
    <w:uiPriority w:val="9"/>
    <w:qFormat/>
    <w:pPr>
      <w:pBdr/>
      <w:spacing/>
      <w:ind/>
    </w:pPr>
    <w:rPr>
      <w:rFonts w:ascii="Calibri Light" w:hAnsi="Calibri Light" w:eastAsia="Arial" w:cs="Arial" w:asciiTheme="majorHAnsi" w:hAnsiTheme="majorHAnsi" w:eastAsiaTheme="majorEastAsia" w:cstheme="majorBidi"/>
      <w:i/>
      <w:iCs/>
      <w:color w:val="404040" w:themeColor="text1" w:themeTint="BF"/>
      <w:sz w:val="20"/>
      <w:szCs w:val="20"/>
      <w:lang w:eastAsia="pt-BR"/>
    </w:rPr>
  </w:style>
  <w:style w:type="character" w:styleId="1082" w:customStyle="1">
    <w:name w:val="Heading 3 Char"/>
    <w:basedOn w:val="1072"/>
    <w:uiPriority w:val="9"/>
    <w:qFormat/>
    <w:pPr>
      <w:pBdr/>
      <w:spacing/>
      <w:ind/>
    </w:pPr>
    <w:rPr>
      <w:rFonts w:ascii="Arial" w:hAnsi="Arial" w:eastAsia="Arial" w:cs="Arial"/>
      <w:sz w:val="30"/>
      <w:szCs w:val="30"/>
    </w:rPr>
  </w:style>
  <w:style w:type="character" w:styleId="1083" w:customStyle="1">
    <w:name w:val="Heading 5 Char"/>
    <w:basedOn w:val="1072"/>
    <w:uiPriority w:val="9"/>
    <w:qFormat/>
    <w:pPr>
      <w:pBdr/>
      <w:spacing/>
      <w:ind/>
    </w:pPr>
    <w:rPr>
      <w:rFonts w:ascii="Arial" w:hAnsi="Arial" w:eastAsia="Arial" w:cs="Arial"/>
      <w:b/>
      <w:bCs/>
      <w:sz w:val="24"/>
      <w:szCs w:val="24"/>
    </w:rPr>
  </w:style>
  <w:style w:type="character" w:styleId="1084" w:customStyle="1">
    <w:name w:val="Heading 6 Char"/>
    <w:basedOn w:val="1072"/>
    <w:uiPriority w:val="9"/>
    <w:qFormat/>
    <w:pPr>
      <w:pBdr/>
      <w:spacing/>
      <w:ind/>
    </w:pPr>
    <w:rPr>
      <w:rFonts w:ascii="Arial" w:hAnsi="Arial" w:eastAsia="Arial" w:cs="Arial"/>
      <w:b/>
      <w:bCs/>
      <w:sz w:val="22"/>
      <w:szCs w:val="22"/>
    </w:rPr>
  </w:style>
  <w:style w:type="character" w:styleId="1085" w:customStyle="1">
    <w:name w:val="Heading 7 Char"/>
    <w:basedOn w:val="1072"/>
    <w:uiPriority w:val="9"/>
    <w:qFormat/>
    <w:pPr>
      <w:pBdr/>
      <w:spacing/>
      <w:ind/>
    </w:pPr>
    <w:rPr>
      <w:rFonts w:ascii="Arial" w:hAnsi="Arial" w:eastAsia="Arial" w:cs="Arial"/>
      <w:b/>
      <w:bCs/>
      <w:i/>
      <w:iCs/>
      <w:sz w:val="22"/>
      <w:szCs w:val="22"/>
    </w:rPr>
  </w:style>
  <w:style w:type="character" w:styleId="1086" w:customStyle="1">
    <w:name w:val="Heading 8 Char"/>
    <w:basedOn w:val="1072"/>
    <w:uiPriority w:val="9"/>
    <w:qFormat/>
    <w:pPr>
      <w:pBdr/>
      <w:spacing/>
      <w:ind/>
    </w:pPr>
    <w:rPr>
      <w:rFonts w:ascii="Arial" w:hAnsi="Arial" w:eastAsia="Arial" w:cs="Arial"/>
      <w:i/>
      <w:iCs/>
      <w:sz w:val="22"/>
      <w:szCs w:val="22"/>
    </w:rPr>
  </w:style>
  <w:style w:type="character" w:styleId="1087" w:customStyle="1">
    <w:name w:val="Subtitle Char"/>
    <w:basedOn w:val="1072"/>
    <w:uiPriority w:val="11"/>
    <w:qFormat/>
    <w:pPr>
      <w:pBdr/>
      <w:spacing/>
      <w:ind/>
    </w:pPr>
    <w:rPr>
      <w:sz w:val="24"/>
      <w:szCs w:val="24"/>
    </w:rPr>
  </w:style>
  <w:style w:type="character" w:styleId="1088" w:customStyle="1">
    <w:name w:val="Intense Quote Char"/>
    <w:uiPriority w:val="30"/>
    <w:qFormat/>
    <w:pPr>
      <w:pBdr/>
      <w:spacing/>
      <w:ind/>
    </w:pPr>
    <w:rPr>
      <w:i/>
    </w:rPr>
  </w:style>
  <w:style w:type="character" w:styleId="1089" w:customStyle="1">
    <w:name w:val="Footnote Text Char"/>
    <w:uiPriority w:val="99"/>
    <w:qFormat/>
    <w:pPr>
      <w:pBdr/>
      <w:spacing/>
      <w:ind/>
    </w:pPr>
    <w:rPr>
      <w:sz w:val="18"/>
    </w:rPr>
  </w:style>
  <w:style w:type="character" w:styleId="1090" w:customStyle="1">
    <w:name w:val="Endnote Text Char"/>
    <w:uiPriority w:val="99"/>
    <w:qFormat/>
    <w:pPr>
      <w:pBdr/>
      <w:spacing/>
      <w:ind/>
    </w:pPr>
    <w:rPr>
      <w:sz w:val="20"/>
    </w:rPr>
  </w:style>
  <w:style w:type="character" w:styleId="1091" w:customStyle="1">
    <w:name w:val="Heading 1 Char"/>
    <w:basedOn w:val="1072"/>
    <w:uiPriority w:val="9"/>
    <w:qFormat/>
    <w:pPr>
      <w:pBdr/>
      <w:spacing/>
      <w:ind/>
    </w:pPr>
    <w:rPr>
      <w:rFonts w:ascii="Arial" w:hAnsi="Arial" w:eastAsia="Arial" w:cs="Arial"/>
      <w:sz w:val="40"/>
      <w:szCs w:val="40"/>
    </w:rPr>
  </w:style>
  <w:style w:type="character" w:styleId="1092" w:customStyle="1">
    <w:name w:val="Heading 2 Char"/>
    <w:basedOn w:val="1072"/>
    <w:uiPriority w:val="9"/>
    <w:qFormat/>
    <w:pPr>
      <w:pBdr/>
      <w:spacing/>
      <w:ind/>
    </w:pPr>
    <w:rPr>
      <w:rFonts w:ascii="Arial" w:hAnsi="Arial" w:eastAsia="Arial" w:cs="Arial"/>
      <w:sz w:val="34"/>
    </w:rPr>
  </w:style>
  <w:style w:type="character" w:styleId="1093" w:customStyle="1">
    <w:name w:val="Heading 4 Char"/>
    <w:basedOn w:val="1072"/>
    <w:uiPriority w:val="9"/>
    <w:qFormat/>
    <w:pPr>
      <w:pBdr/>
      <w:spacing/>
      <w:ind/>
    </w:pPr>
    <w:rPr>
      <w:rFonts w:ascii="Arial" w:hAnsi="Arial" w:eastAsia="Arial" w:cs="Arial"/>
      <w:b/>
      <w:bCs/>
      <w:sz w:val="26"/>
      <w:szCs w:val="26"/>
    </w:rPr>
  </w:style>
  <w:style w:type="character" w:styleId="1094" w:customStyle="1">
    <w:name w:val="Heading 9 Char"/>
    <w:basedOn w:val="1072"/>
    <w:uiPriority w:val="9"/>
    <w:qFormat/>
    <w:pPr>
      <w:pBdr/>
      <w:spacing/>
      <w:ind/>
    </w:pPr>
    <w:rPr>
      <w:rFonts w:ascii="Arial" w:hAnsi="Arial" w:eastAsia="Arial" w:cs="Arial"/>
      <w:i/>
      <w:iCs/>
      <w:sz w:val="21"/>
      <w:szCs w:val="21"/>
    </w:rPr>
  </w:style>
  <w:style w:type="character" w:styleId="1095" w:customStyle="1">
    <w:name w:val="Title Char"/>
    <w:basedOn w:val="1072"/>
    <w:uiPriority w:val="10"/>
    <w:qFormat/>
    <w:pPr>
      <w:pBdr/>
      <w:spacing/>
      <w:ind/>
    </w:pPr>
    <w:rPr>
      <w:sz w:val="48"/>
      <w:szCs w:val="48"/>
    </w:rPr>
  </w:style>
  <w:style w:type="character" w:styleId="1096" w:customStyle="1">
    <w:name w:val="Subtítulo Char"/>
    <w:basedOn w:val="1072"/>
    <w:uiPriority w:val="11"/>
    <w:qFormat/>
    <w:pPr>
      <w:pBdr/>
      <w:spacing/>
      <w:ind/>
    </w:pPr>
    <w:rPr>
      <w:sz w:val="24"/>
      <w:szCs w:val="24"/>
    </w:rPr>
  </w:style>
  <w:style w:type="character" w:styleId="1097" w:customStyle="1">
    <w:name w:val="Quote Char"/>
    <w:uiPriority w:val="29"/>
    <w:qFormat/>
    <w:pPr>
      <w:pBdr/>
      <w:spacing/>
      <w:ind/>
    </w:pPr>
    <w:rPr>
      <w:i/>
    </w:rPr>
  </w:style>
  <w:style w:type="character" w:styleId="1098" w:customStyle="1">
    <w:name w:val="Citação Intensa Char"/>
    <w:link w:val="1181"/>
    <w:uiPriority w:val="30"/>
    <w:qFormat/>
    <w:pPr>
      <w:pBdr/>
      <w:spacing/>
      <w:ind/>
    </w:pPr>
    <w:rPr>
      <w:i/>
      <w:shd w:val="clear" w:color="auto" w:fill="f2f2f2"/>
    </w:rPr>
  </w:style>
  <w:style w:type="character" w:styleId="1099" w:customStyle="1">
    <w:name w:val="Header Char"/>
    <w:basedOn w:val="1072"/>
    <w:uiPriority w:val="99"/>
    <w:qFormat/>
    <w:pPr>
      <w:pBdr/>
      <w:spacing/>
      <w:ind/>
    </w:pPr>
  </w:style>
  <w:style w:type="character" w:styleId="1100" w:customStyle="1">
    <w:name w:val="Footer Char"/>
    <w:basedOn w:val="1072"/>
    <w:uiPriority w:val="99"/>
    <w:qFormat/>
    <w:pPr>
      <w:pBdr/>
      <w:spacing/>
      <w:ind/>
    </w:pPr>
  </w:style>
  <w:style w:type="character" w:styleId="1101" w:customStyle="1">
    <w:name w:val="Caption Char"/>
    <w:uiPriority w:val="99"/>
    <w:qFormat/>
    <w:pPr>
      <w:pBdr/>
      <w:spacing/>
      <w:ind/>
    </w:pPr>
  </w:style>
  <w:style w:type="character" w:styleId="1102" w:customStyle="1">
    <w:name w:val="Texto de nota de rodapé Char"/>
    <w:uiPriority w:val="99"/>
    <w:qFormat/>
    <w:pPr>
      <w:pBdr/>
      <w:spacing/>
      <w:ind/>
    </w:pPr>
    <w:rPr>
      <w:sz w:val="18"/>
    </w:rPr>
  </w:style>
  <w:style w:type="character" w:styleId="1103" w:customStyle="1">
    <w:name w:val="Caracteres de nota de rodapé (user)"/>
    <w:uiPriority w:val="99"/>
    <w:qFormat/>
    <w:pPr>
      <w:pBdr/>
      <w:spacing/>
      <w:ind/>
    </w:pPr>
    <w:rPr>
      <w:vertAlign w:val="superscript"/>
    </w:rPr>
  </w:style>
  <w:style w:type="character" w:styleId="1104">
    <w:name w:val="Caracteres de nota de rodapé"/>
    <w:qFormat/>
    <w:pPr>
      <w:pBdr/>
      <w:spacing/>
      <w:ind/>
    </w:pPr>
    <w:rPr>
      <w:vertAlign w:val="superscript"/>
    </w:rPr>
  </w:style>
  <w:style w:type="character" w:styleId="1105">
    <w:name w:val="footnote reference"/>
    <w:pPr>
      <w:pBdr/>
      <w:spacing/>
      <w:ind/>
    </w:pPr>
    <w:rPr>
      <w:vertAlign w:val="superscript"/>
    </w:rPr>
  </w:style>
  <w:style w:type="character" w:styleId="1106" w:customStyle="1">
    <w:name w:val="Texto de nota de fim Char"/>
    <w:uiPriority w:val="99"/>
    <w:qFormat/>
    <w:pPr>
      <w:pBdr/>
      <w:spacing/>
      <w:ind/>
    </w:pPr>
    <w:rPr>
      <w:sz w:val="20"/>
    </w:rPr>
  </w:style>
  <w:style w:type="character" w:styleId="1107" w:customStyle="1">
    <w:name w:val="Caracteres de nota de fim (user)"/>
    <w:uiPriority w:val="99"/>
    <w:qFormat/>
    <w:pPr>
      <w:pBdr/>
      <w:spacing/>
      <w:ind/>
    </w:pPr>
    <w:rPr>
      <w:vertAlign w:val="superscript"/>
    </w:rPr>
  </w:style>
  <w:style w:type="character" w:styleId="1108">
    <w:name w:val="Caracteres de nota de fim"/>
    <w:qFormat/>
    <w:pPr>
      <w:pBdr/>
      <w:spacing/>
      <w:ind/>
    </w:pPr>
    <w:rPr>
      <w:vertAlign w:val="superscript"/>
    </w:rPr>
  </w:style>
  <w:style w:type="character" w:styleId="1109">
    <w:name w:val="endnote reference"/>
    <w:pPr>
      <w:pBdr/>
      <w:spacing/>
      <w:ind/>
    </w:pPr>
    <w:rPr>
      <w:vertAlign w:val="superscript"/>
    </w:rPr>
  </w:style>
  <w:style w:type="character" w:styleId="1110">
    <w:name w:val="page number"/>
    <w:basedOn w:val="1072"/>
    <w:qFormat/>
    <w:pPr>
      <w:pBdr/>
      <w:spacing/>
      <w:ind/>
    </w:pPr>
  </w:style>
  <w:style w:type="character" w:styleId="1111" w:customStyle="1">
    <w:name w:val="Cabeçalho Char"/>
    <w:basedOn w:val="1072"/>
    <w:uiPriority w:val="99"/>
    <w:qFormat/>
    <w:pPr>
      <w:pBdr/>
      <w:spacing/>
      <w:ind/>
    </w:pPr>
    <w:rPr>
      <w:rFonts w:ascii="Arial" w:hAnsi="Arial" w:eastAsia="Times New Roman" w:cs="Arial"/>
      <w:sz w:val="24"/>
      <w:szCs w:val="18"/>
      <w:lang w:eastAsia="pt-BR"/>
    </w:rPr>
  </w:style>
  <w:style w:type="character" w:styleId="1112" w:customStyle="1">
    <w:name w:val="Rodapé Char"/>
    <w:basedOn w:val="1072"/>
    <w:uiPriority w:val="99"/>
    <w:qFormat/>
    <w:pPr>
      <w:pBdr/>
      <w:spacing/>
      <w:ind/>
    </w:pPr>
    <w:rPr>
      <w:rFonts w:ascii="Arial" w:hAnsi="Arial" w:eastAsia="Times New Roman" w:cs="Arial"/>
      <w:sz w:val="24"/>
      <w:szCs w:val="18"/>
      <w:lang w:eastAsia="pt-BR"/>
    </w:rPr>
  </w:style>
  <w:style w:type="character" w:styleId="1113" w:customStyle="1">
    <w:name w:val="Corpo de texto 2 Char"/>
    <w:basedOn w:val="1072"/>
    <w:link w:val="1209"/>
    <w:uiPriority w:val="99"/>
    <w:qFormat/>
    <w:pPr>
      <w:pBdr/>
      <w:spacing/>
      <w:ind/>
    </w:pPr>
    <w:rPr>
      <w:rFonts w:ascii="Tahoma" w:hAnsi="Tahoma" w:eastAsia="Times New Roman" w:cs="Arial"/>
      <w:b/>
      <w:sz w:val="36"/>
      <w:szCs w:val="18"/>
      <w:u w:val="single"/>
      <w:lang w:eastAsia="pt-BR"/>
    </w:rPr>
  </w:style>
  <w:style w:type="character" w:styleId="1114">
    <w:name w:val="Hyperlink"/>
    <w:basedOn w:val="1072"/>
    <w:pPr>
      <w:pBdr/>
      <w:spacing/>
      <w:ind/>
    </w:pPr>
    <w:rPr>
      <w:color w:val="0000ff"/>
      <w:u w:val="single"/>
    </w:rPr>
  </w:style>
  <w:style w:type="character" w:styleId="1115" w:customStyle="1">
    <w:name w:val="Corpo de texto Char"/>
    <w:basedOn w:val="1072"/>
    <w:qFormat/>
    <w:pPr>
      <w:pBdr/>
      <w:spacing/>
      <w:ind/>
    </w:pPr>
    <w:rPr>
      <w:rFonts w:ascii="Arial" w:hAnsi="Arial" w:eastAsia="Times New Roman" w:cs="Arial"/>
      <w:sz w:val="18"/>
      <w:szCs w:val="18"/>
      <w:lang w:eastAsia="pt-BR"/>
    </w:rPr>
  </w:style>
  <w:style w:type="character" w:styleId="1116" w:customStyle="1">
    <w:name w:val="apple-converted-space"/>
    <w:basedOn w:val="1072"/>
    <w:qFormat/>
    <w:pPr>
      <w:pBdr/>
      <w:spacing/>
      <w:ind/>
    </w:pPr>
  </w:style>
  <w:style w:type="character" w:styleId="1117">
    <w:name w:val="Strong"/>
    <w:basedOn w:val="1072"/>
    <w:qFormat/>
    <w:pPr>
      <w:pBdr/>
      <w:spacing/>
      <w:ind/>
    </w:pPr>
    <w:rPr>
      <w:rFonts w:cs="Times New Roman"/>
      <w:b/>
      <w:bCs/>
    </w:rPr>
  </w:style>
  <w:style w:type="character" w:styleId="1118" w:customStyle="1">
    <w:name w:val="Recuo de corpo de texto Char"/>
    <w:basedOn w:val="1072"/>
    <w:uiPriority w:val="99"/>
    <w:semiHidden/>
    <w:qFormat/>
    <w:pPr>
      <w:pBdr/>
      <w:spacing/>
      <w:ind/>
    </w:pPr>
    <w:rPr>
      <w:rFonts w:ascii="Arial" w:hAnsi="Arial" w:eastAsia="Times New Roman" w:cs="Arial"/>
      <w:sz w:val="18"/>
      <w:szCs w:val="18"/>
      <w:lang w:eastAsia="pt-BR"/>
    </w:rPr>
  </w:style>
  <w:style w:type="character" w:styleId="1119" w:customStyle="1">
    <w:name w:val="Recuo de corpo de texto Char1"/>
    <w:basedOn w:val="1072"/>
    <w:uiPriority w:val="99"/>
    <w:semiHidden/>
    <w:qFormat/>
    <w:pPr>
      <w:pBdr/>
      <w:spacing/>
      <w:ind/>
    </w:pPr>
    <w:rPr>
      <w:rFonts w:ascii="Arial" w:hAnsi="Arial" w:eastAsia="Times New Roman" w:cs="Arial"/>
      <w:sz w:val="18"/>
      <w:szCs w:val="18"/>
      <w:lang w:eastAsia="pt-BR"/>
    </w:rPr>
  </w:style>
  <w:style w:type="character" w:styleId="1120" w:customStyle="1">
    <w:name w:val="Recuo de corpo de texto 2 Char"/>
    <w:basedOn w:val="1072"/>
    <w:link w:val="1212"/>
    <w:uiPriority w:val="99"/>
    <w:semiHidden/>
    <w:qFormat/>
    <w:pPr>
      <w:pBdr/>
      <w:spacing/>
      <w:ind/>
    </w:pPr>
    <w:rPr>
      <w:rFonts w:ascii="Arial" w:hAnsi="Arial" w:eastAsia="Times New Roman" w:cs="Arial"/>
      <w:sz w:val="18"/>
      <w:szCs w:val="18"/>
      <w:lang w:eastAsia="pt-BR"/>
    </w:rPr>
  </w:style>
  <w:style w:type="character" w:styleId="1121" w:customStyle="1">
    <w:name w:val="Corpo de texto 3 Char"/>
    <w:basedOn w:val="1072"/>
    <w:link w:val="1213"/>
    <w:uiPriority w:val="99"/>
    <w:semiHidden/>
    <w:qFormat/>
    <w:pPr>
      <w:pBdr/>
      <w:spacing/>
      <w:ind/>
    </w:pPr>
    <w:rPr>
      <w:rFonts w:ascii="Arial" w:hAnsi="Arial" w:eastAsia="Times New Roman" w:cs="Times New Roman"/>
      <w:sz w:val="16"/>
      <w:szCs w:val="16"/>
      <w:lang w:eastAsia="pt-BR"/>
    </w:rPr>
  </w:style>
  <w:style w:type="character" w:styleId="1122">
    <w:name w:val="Emphasis"/>
    <w:basedOn w:val="1072"/>
    <w:qFormat/>
    <w:pPr>
      <w:pBdr/>
      <w:spacing/>
      <w:ind/>
    </w:pPr>
    <w:rPr>
      <w:i/>
      <w:iCs/>
    </w:rPr>
  </w:style>
  <w:style w:type="character" w:styleId="1123" w:customStyle="1">
    <w:name w:val="Texto de balão Char"/>
    <w:basedOn w:val="1072"/>
    <w:link w:val="1217"/>
    <w:uiPriority w:val="99"/>
    <w:semiHidden/>
    <w:qFormat/>
    <w:pPr>
      <w:pBdr/>
      <w:spacing/>
      <w:ind/>
    </w:pPr>
    <w:rPr>
      <w:rFonts w:ascii="Tahoma" w:hAnsi="Tahoma" w:eastAsia="Times New Roman" w:cs="Tahoma"/>
      <w:sz w:val="16"/>
      <w:szCs w:val="16"/>
      <w:lang w:eastAsia="pt-BR"/>
    </w:rPr>
  </w:style>
  <w:style w:type="character" w:styleId="1124" w:customStyle="1">
    <w:name w:val="Texto sem Formatação Char"/>
    <w:basedOn w:val="1072"/>
    <w:link w:val="1218"/>
    <w:semiHidden/>
    <w:qFormat/>
    <w:pPr>
      <w:pBdr/>
      <w:spacing/>
      <w:ind/>
    </w:pPr>
    <w:rPr>
      <w:rFonts w:ascii="Courier New" w:hAnsi="Courier New" w:eastAsia="Times New Roman" w:cs="Times New Roman"/>
      <w:sz w:val="20"/>
      <w:szCs w:val="20"/>
      <w:lang w:eastAsia="pt-BR"/>
    </w:rPr>
  </w:style>
  <w:style w:type="character" w:styleId="1125" w:customStyle="1">
    <w:name w:val="Nivel1 Char"/>
    <w:basedOn w:val="1072"/>
    <w:link w:val="1220"/>
    <w:qFormat/>
    <w:pPr>
      <w:pBdr/>
      <w:spacing/>
      <w:ind/>
    </w:pPr>
    <w:rPr>
      <w:rFonts w:eastAsia="Arial" w:eastAsiaTheme="majorEastAsia"/>
      <w:b/>
      <w:color w:val="000000"/>
      <w:sz w:val="20"/>
      <w:szCs w:val="20"/>
    </w:rPr>
  </w:style>
  <w:style w:type="character" w:styleId="1126">
    <w:name w:val="FollowedHyperlink"/>
    <w:basedOn w:val="1072"/>
    <w:uiPriority w:val="99"/>
    <w:semiHidden/>
    <w:unhideWhenUsed/>
    <w:pPr>
      <w:pBdr/>
      <w:spacing/>
      <w:ind/>
    </w:pPr>
    <w:rPr>
      <w:color w:val="954f72" w:themeColor="followedHyperlink"/>
      <w:u w:val="single"/>
    </w:rPr>
  </w:style>
  <w:style w:type="character" w:styleId="1127" w:customStyle="1">
    <w:name w:val="Título Char"/>
    <w:basedOn w:val="1072"/>
    <w:uiPriority w:val="1"/>
    <w:qFormat/>
    <w:pPr>
      <w:pBdr/>
      <w:spacing/>
      <w:ind/>
    </w:pPr>
    <w:rPr>
      <w:rFonts w:ascii="Tahoma" w:hAnsi="Tahoma" w:eastAsia="Tahoma" w:cs="Tahoma"/>
      <w:b/>
      <w:bCs/>
      <w:sz w:val="28"/>
      <w:szCs w:val="28"/>
      <w:u w:val="single"/>
      <w:lang w:val="pt-PT"/>
    </w:rPr>
  </w:style>
  <w:style w:type="character" w:styleId="1128" w:customStyle="1">
    <w:name w:val="Citação Char"/>
    <w:basedOn w:val="1072"/>
    <w:link w:val="1223"/>
    <w:qFormat/>
    <w:pPr>
      <w:pBdr/>
      <w:spacing/>
      <w:ind/>
    </w:pPr>
    <w:rPr>
      <w:rFonts w:ascii="Arial" w:hAnsi="Arial" w:eastAsia="Calibri" w:cs="Tahoma"/>
      <w:i/>
      <w:iCs/>
      <w:color w:val="000000"/>
      <w:sz w:val="20"/>
      <w:szCs w:val="24"/>
      <w:shd w:val="clear" w:color="auto" w:fill="ffffcc"/>
    </w:rPr>
  </w:style>
  <w:style w:type="character" w:styleId="1129" w:customStyle="1">
    <w:name w:val="Título Char1"/>
    <w:basedOn w:val="1072"/>
    <w:uiPriority w:val="10"/>
    <w:qFormat/>
    <w:pPr>
      <w:pBdr/>
      <w:spacing/>
      <w:ind/>
    </w:pPr>
    <w:rPr>
      <w:rFonts w:ascii="Calibri Light" w:hAnsi="Calibri Light" w:eastAsia="Arial" w:cs="Arial" w:asciiTheme="majorHAnsi" w:hAnsiTheme="majorHAnsi" w:eastAsiaTheme="majorEastAsia" w:cstheme="majorBidi"/>
      <w:spacing w:val="-10"/>
      <w:sz w:val="56"/>
      <w:szCs w:val="56"/>
      <w:lang w:eastAsia="pt-BR"/>
    </w:rPr>
  </w:style>
  <w:style w:type="character" w:styleId="1130" w:customStyle="1">
    <w:name w:val="Corpo de texto Char1"/>
    <w:basedOn w:val="1072"/>
    <w:uiPriority w:val="99"/>
    <w:semiHidden/>
    <w:qFormat/>
    <w:pPr>
      <w:pBdr/>
      <w:spacing/>
      <w:ind/>
    </w:pPr>
    <w:rPr>
      <w:rFonts w:ascii="Arial" w:hAnsi="Arial" w:eastAsia="Times New Roman"/>
      <w:sz w:val="18"/>
      <w:szCs w:val="18"/>
      <w:lang w:eastAsia="pt-BR"/>
    </w:rPr>
  </w:style>
  <w:style w:type="character" w:styleId="1131" w:customStyle="1">
    <w:name w:val="Subtítulo Char1"/>
    <w:basedOn w:val="1072"/>
    <w:uiPriority w:val="11"/>
    <w:qFormat/>
    <w:pPr>
      <w:pBdr/>
      <w:spacing/>
      <w:ind/>
    </w:pPr>
    <w:rPr>
      <w:rFonts w:eastAsia="Arial" w:eastAsiaTheme="minorEastAsia"/>
      <w:color w:val="5a5a5a" w:themeColor="text1" w:themeTint="A5"/>
      <w:spacing w:val="15"/>
      <w:lang w:eastAsia="pt-BR"/>
    </w:rPr>
  </w:style>
  <w:style w:type="character" w:styleId="1132" w:customStyle="1">
    <w:name w:val="Citação Intensa Char1"/>
    <w:basedOn w:val="1072"/>
    <w:uiPriority w:val="30"/>
    <w:qFormat/>
    <w:pPr>
      <w:pBdr/>
      <w:spacing/>
      <w:ind/>
    </w:pPr>
    <w:rPr>
      <w:rFonts w:ascii="Arial" w:hAnsi="Arial" w:eastAsia="Times New Roman"/>
      <w:i/>
      <w:iCs/>
      <w:color w:val="5b9bd5" w:themeColor="accent1"/>
      <w:sz w:val="18"/>
      <w:szCs w:val="18"/>
      <w:lang w:eastAsia="pt-BR"/>
    </w:rPr>
  </w:style>
  <w:style w:type="character" w:styleId="1133" w:customStyle="1">
    <w:name w:val="Texto de nota de rodapé Char1"/>
    <w:basedOn w:val="1072"/>
    <w:uiPriority w:val="99"/>
    <w:semiHidden/>
    <w:qFormat/>
    <w:pPr>
      <w:pBdr/>
      <w:spacing/>
      <w:ind/>
    </w:pPr>
    <w:rPr>
      <w:rFonts w:ascii="Arial" w:hAnsi="Arial" w:eastAsia="Times New Roman"/>
      <w:sz w:val="20"/>
      <w:szCs w:val="20"/>
      <w:lang w:eastAsia="pt-BR"/>
    </w:rPr>
  </w:style>
  <w:style w:type="character" w:styleId="1134" w:customStyle="1">
    <w:name w:val="Texto de nota de fim Char1"/>
    <w:basedOn w:val="1072"/>
    <w:uiPriority w:val="99"/>
    <w:semiHidden/>
    <w:qFormat/>
    <w:pPr>
      <w:pBdr/>
      <w:spacing/>
      <w:ind/>
    </w:pPr>
    <w:rPr>
      <w:rFonts w:ascii="Arial" w:hAnsi="Arial" w:eastAsia="Times New Roman"/>
      <w:sz w:val="20"/>
      <w:szCs w:val="20"/>
      <w:lang w:eastAsia="pt-BR"/>
    </w:rPr>
  </w:style>
  <w:style w:type="character" w:styleId="1135" w:customStyle="1">
    <w:name w:val="Cabeçalho Char1"/>
    <w:basedOn w:val="1072"/>
    <w:uiPriority w:val="99"/>
    <w:semiHidden/>
    <w:qFormat/>
    <w:pPr>
      <w:pBdr/>
      <w:spacing/>
      <w:ind/>
    </w:pPr>
    <w:rPr>
      <w:rFonts w:ascii="Arial" w:hAnsi="Arial" w:eastAsia="Times New Roman"/>
      <w:sz w:val="18"/>
      <w:szCs w:val="18"/>
      <w:lang w:eastAsia="pt-BR"/>
    </w:rPr>
  </w:style>
  <w:style w:type="character" w:styleId="1136" w:customStyle="1">
    <w:name w:val="Rodapé Char1"/>
    <w:basedOn w:val="1072"/>
    <w:uiPriority w:val="99"/>
    <w:semiHidden/>
    <w:qFormat/>
    <w:pPr>
      <w:pBdr/>
      <w:spacing/>
      <w:ind/>
    </w:pPr>
    <w:rPr>
      <w:rFonts w:ascii="Arial" w:hAnsi="Arial" w:eastAsia="Times New Roman"/>
      <w:sz w:val="18"/>
      <w:szCs w:val="18"/>
      <w:lang w:eastAsia="pt-BR"/>
    </w:rPr>
  </w:style>
  <w:style w:type="character" w:styleId="1137" w:customStyle="1">
    <w:name w:val="Corpo de texto 2 Char1"/>
    <w:basedOn w:val="1072"/>
    <w:uiPriority w:val="99"/>
    <w:semiHidden/>
    <w:qFormat/>
    <w:pPr>
      <w:pBdr/>
      <w:spacing/>
      <w:ind/>
    </w:pPr>
    <w:rPr>
      <w:rFonts w:ascii="Arial" w:hAnsi="Arial" w:eastAsia="Times New Roman"/>
      <w:sz w:val="18"/>
      <w:szCs w:val="18"/>
      <w:lang w:eastAsia="pt-BR"/>
    </w:rPr>
  </w:style>
  <w:style w:type="character" w:styleId="1138" w:customStyle="1">
    <w:name w:val="Recuo de corpo de texto Char2"/>
    <w:basedOn w:val="1072"/>
    <w:uiPriority w:val="99"/>
    <w:semiHidden/>
    <w:qFormat/>
    <w:pPr>
      <w:pBdr/>
      <w:spacing/>
      <w:ind/>
    </w:pPr>
    <w:rPr>
      <w:rFonts w:ascii="Arial" w:hAnsi="Arial" w:eastAsia="Times New Roman"/>
      <w:sz w:val="18"/>
      <w:szCs w:val="18"/>
      <w:lang w:eastAsia="pt-BR"/>
    </w:rPr>
  </w:style>
  <w:style w:type="character" w:styleId="1139" w:customStyle="1">
    <w:name w:val="Recuo de corpo de texto 2 Char1"/>
    <w:basedOn w:val="1072"/>
    <w:uiPriority w:val="99"/>
    <w:semiHidden/>
    <w:qFormat/>
    <w:pPr>
      <w:pBdr/>
      <w:spacing/>
      <w:ind/>
    </w:pPr>
    <w:rPr>
      <w:rFonts w:ascii="Arial" w:hAnsi="Arial" w:eastAsia="Times New Roman"/>
      <w:sz w:val="18"/>
      <w:szCs w:val="18"/>
      <w:lang w:eastAsia="pt-BR"/>
    </w:rPr>
  </w:style>
  <w:style w:type="character" w:styleId="1140" w:customStyle="1">
    <w:name w:val="Corpo de texto 3 Char1"/>
    <w:basedOn w:val="1072"/>
    <w:uiPriority w:val="99"/>
    <w:semiHidden/>
    <w:qFormat/>
    <w:pPr>
      <w:pBdr/>
      <w:spacing/>
      <w:ind/>
    </w:pPr>
    <w:rPr>
      <w:rFonts w:ascii="Arial" w:hAnsi="Arial" w:eastAsia="Times New Roman"/>
      <w:sz w:val="16"/>
      <w:szCs w:val="16"/>
      <w:lang w:eastAsia="pt-BR"/>
    </w:rPr>
  </w:style>
  <w:style w:type="character" w:styleId="1141" w:customStyle="1">
    <w:name w:val="Texto de balão Char1"/>
    <w:basedOn w:val="1072"/>
    <w:uiPriority w:val="99"/>
    <w:semiHidden/>
    <w:qFormat/>
    <w:pPr>
      <w:pBdr/>
      <w:spacing/>
      <w:ind/>
    </w:pPr>
    <w:rPr>
      <w:rFonts w:ascii="Segoe UI" w:hAnsi="Segoe UI" w:eastAsia="Times New Roman" w:cs="Segoe UI"/>
      <w:sz w:val="18"/>
      <w:szCs w:val="18"/>
      <w:lang w:eastAsia="pt-BR"/>
    </w:rPr>
  </w:style>
  <w:style w:type="character" w:styleId="1142" w:customStyle="1">
    <w:name w:val="Texto sem Formatação Char1"/>
    <w:basedOn w:val="1072"/>
    <w:uiPriority w:val="99"/>
    <w:semiHidden/>
    <w:qFormat/>
    <w:pPr>
      <w:pBdr/>
      <w:spacing/>
      <w:ind/>
    </w:pPr>
    <w:rPr>
      <w:rFonts w:ascii="Consolas" w:hAnsi="Consolas" w:eastAsia="Times New Roman"/>
      <w:sz w:val="21"/>
      <w:szCs w:val="21"/>
      <w:lang w:eastAsia="pt-BR"/>
    </w:rPr>
  </w:style>
  <w:style w:type="character" w:styleId="1143" w:customStyle="1">
    <w:name w:val="Citação Char1"/>
    <w:basedOn w:val="1072"/>
    <w:uiPriority w:val="29"/>
    <w:qFormat/>
    <w:pPr>
      <w:pBdr/>
      <w:spacing/>
      <w:ind/>
    </w:pPr>
    <w:rPr>
      <w:rFonts w:ascii="Arial" w:hAnsi="Arial" w:eastAsia="Times New Roman"/>
      <w:i/>
      <w:iCs/>
      <w:color w:val="404040" w:themeColor="text1" w:themeTint="BF"/>
      <w:sz w:val="18"/>
      <w:szCs w:val="18"/>
      <w:lang w:eastAsia="pt-BR"/>
    </w:rPr>
  </w:style>
  <w:style w:type="character" w:styleId="1144">
    <w:name w:val="annotation reference"/>
    <w:basedOn w:val="1072"/>
    <w:unhideWhenUsed/>
    <w:qFormat/>
    <w:pPr>
      <w:pBdr/>
      <w:spacing/>
      <w:ind/>
    </w:pPr>
    <w:rPr>
      <w:sz w:val="16"/>
      <w:szCs w:val="16"/>
    </w:rPr>
  </w:style>
  <w:style w:type="character" w:styleId="1145" w:customStyle="1">
    <w:name w:val="Texto de comentário Char"/>
    <w:basedOn w:val="1072"/>
    <w:uiPriority w:val="99"/>
    <w:qFormat/>
    <w:pPr>
      <w:pBdr/>
      <w:spacing/>
      <w:ind/>
    </w:pPr>
    <w:rPr>
      <w:rFonts w:ascii="Ecofont_Spranq_eco_Sans" w:hAnsi="Ecofont_Spranq_eco_Sans" w:eastAsia="Arial" w:cs="Tahoma" w:eastAsiaTheme="minorEastAsia"/>
      <w:sz w:val="20"/>
      <w:szCs w:val="20"/>
      <w:lang w:eastAsia="pt-BR"/>
    </w:rPr>
  </w:style>
  <w:style w:type="character" w:styleId="1146" w:customStyle="1">
    <w:name w:val="Nivel 4 Char"/>
    <w:basedOn w:val="1072"/>
    <w:link w:val="1230"/>
    <w:qFormat/>
    <w:pPr>
      <w:pBdr/>
      <w:spacing/>
      <w:ind/>
    </w:pPr>
    <w:rPr>
      <w:rFonts w:eastAsia="Arial" w:eastAsiaTheme="minorEastAsia"/>
      <w:sz w:val="20"/>
      <w:szCs w:val="20"/>
    </w:rPr>
  </w:style>
  <w:style w:type="character" w:styleId="1147" w:customStyle="1">
    <w:name w:val="Nivel 2 Char"/>
    <w:basedOn w:val="1072"/>
    <w:link w:val="1228"/>
    <w:qFormat/>
    <w:pPr>
      <w:pBdr/>
      <w:spacing/>
      <w:ind/>
    </w:pPr>
    <w:rPr>
      <w:rFonts w:eastAsia="Arial" w:eastAsiaTheme="minorEastAsia"/>
      <w:color w:val="000000"/>
      <w:sz w:val="20"/>
      <w:szCs w:val="20"/>
    </w:rPr>
  </w:style>
  <w:style w:type="character" w:styleId="1148" w:customStyle="1">
    <w:name w:val="Nível 2 -Red Char"/>
    <w:basedOn w:val="1147"/>
    <w:link w:val="1232"/>
    <w:qFormat/>
    <w:pPr>
      <w:pBdr/>
      <w:spacing/>
      <w:ind/>
    </w:pPr>
    <w:rPr>
      <w:rFonts w:eastAsia="Arial" w:eastAsiaTheme="minorEastAsia"/>
      <w:i/>
      <w:iCs/>
      <w:color w:val="ff0000"/>
      <w:sz w:val="20"/>
      <w:szCs w:val="20"/>
    </w:rPr>
  </w:style>
  <w:style w:type="character" w:styleId="1149" w:customStyle="1">
    <w:name w:val="Nivel 3 Char"/>
    <w:basedOn w:val="1072"/>
    <w:link w:val="1229"/>
    <w:qFormat/>
    <w:pPr>
      <w:pBdr/>
      <w:spacing/>
      <w:ind/>
    </w:pPr>
    <w:rPr>
      <w:rFonts w:eastAsia="Arial" w:eastAsiaTheme="minorEastAsia"/>
      <w:color w:val="000000"/>
      <w:sz w:val="20"/>
      <w:szCs w:val="20"/>
    </w:rPr>
  </w:style>
  <w:style w:type="character" w:styleId="1150" w:customStyle="1">
    <w:name w:val="Nível 3-R Char"/>
    <w:basedOn w:val="1149"/>
    <w:link w:val="1233"/>
    <w:qFormat/>
    <w:pPr>
      <w:pBdr/>
      <w:spacing/>
      <w:ind/>
    </w:pPr>
    <w:rPr>
      <w:rFonts w:eastAsia="Arial" w:eastAsiaTheme="minorEastAsia"/>
      <w:i/>
      <w:iCs/>
      <w:color w:val="ff0000"/>
      <w:sz w:val="20"/>
      <w:szCs w:val="20"/>
    </w:rPr>
  </w:style>
  <w:style w:type="character" w:styleId="1151" w:customStyle="1">
    <w:name w:val="Nivel 01 Char"/>
    <w:basedOn w:val="1127"/>
    <w:link w:val="1227"/>
    <w:qFormat/>
    <w:pPr>
      <w:pBdr/>
      <w:spacing/>
      <w:ind/>
    </w:pPr>
    <w:rPr>
      <w:rFonts w:ascii="Tahoma" w:hAnsi="Tahoma" w:eastAsia="Arial" w:cs="Tahoma" w:eastAsiaTheme="majorEastAsia"/>
      <w:b/>
      <w:bCs/>
      <w:sz w:val="24"/>
      <w:szCs w:val="24"/>
      <w:u w:val="single"/>
      <w:lang w:val="pt-PT"/>
    </w:rPr>
  </w:style>
  <w:style w:type="character" w:styleId="1152" w:customStyle="1">
    <w:name w:val="normaltextrun"/>
    <w:basedOn w:val="1072"/>
    <w:qFormat/>
    <w:pPr>
      <w:pBdr/>
      <w:spacing/>
      <w:ind/>
    </w:pPr>
  </w:style>
  <w:style w:type="character" w:styleId="1153" w:customStyle="1">
    <w:name w:val="eop"/>
    <w:basedOn w:val="1072"/>
    <w:qFormat/>
    <w:pPr>
      <w:pBdr/>
      <w:spacing/>
      <w:ind/>
    </w:pPr>
  </w:style>
  <w:style w:type="character" w:styleId="1154" w:customStyle="1">
    <w:name w:val="ou Char"/>
    <w:basedOn w:val="1072"/>
    <w:link w:val="1234"/>
    <w:qFormat/>
    <w:pPr>
      <w:pBdr/>
      <w:spacing/>
      <w:ind/>
    </w:pPr>
    <w:rPr>
      <w:rFonts w:ascii="Arial" w:hAnsi="Arial" w:cs="Arial"/>
      <w:b/>
      <w:bCs/>
      <w:i/>
      <w:iCs/>
      <w:color w:val="ff0000"/>
      <w:sz w:val="24"/>
      <w:szCs w:val="24"/>
      <w:u w:val="single"/>
      <w:lang w:eastAsia="pt-BR"/>
    </w:rPr>
  </w:style>
  <w:style w:type="character" w:styleId="1155" w:customStyle="1">
    <w:name w:val="Nível 4-R Char"/>
    <w:basedOn w:val="1146"/>
    <w:link w:val="1235"/>
    <w:qFormat/>
    <w:pPr>
      <w:pBdr/>
      <w:spacing/>
      <w:ind/>
    </w:pPr>
    <w:rPr>
      <w:rFonts w:eastAsia="Arial" w:eastAsiaTheme="minorEastAsia"/>
      <w:i/>
      <w:iCs/>
      <w:color w:val="ff0000"/>
      <w:sz w:val="20"/>
      <w:szCs w:val="20"/>
    </w:rPr>
  </w:style>
  <w:style w:type="character" w:styleId="1156" w:customStyle="1">
    <w:name w:val="Nível 2 Opcional Char"/>
    <w:basedOn w:val="1072"/>
    <w:link w:val="1236"/>
    <w:qFormat/>
    <w:pPr>
      <w:pBdr/>
      <w:spacing/>
      <w:ind/>
    </w:pPr>
    <w:rPr>
      <w:rFonts w:ascii="Arial" w:hAnsi="Arial" w:eastAsia="Times New Roman" w:cs="Arial"/>
      <w:i/>
      <w:color w:val="ff0000"/>
      <w:sz w:val="20"/>
      <w:szCs w:val="20"/>
      <w:lang w:eastAsia="pt-BR"/>
    </w:rPr>
  </w:style>
  <w:style w:type="character" w:styleId="1157" w:customStyle="1">
    <w:name w:val="Assunto do comentário Char"/>
    <w:basedOn w:val="1145"/>
    <w:link w:val="1237"/>
    <w:uiPriority w:val="99"/>
    <w:semiHidden/>
    <w:qFormat/>
    <w:pPr>
      <w:pBdr/>
      <w:spacing/>
      <w:ind/>
    </w:pPr>
    <w:rPr>
      <w:rFonts w:ascii="Arial" w:hAnsi="Arial" w:eastAsia="Times New Roman" w:cs="Tahoma"/>
      <w:b/>
      <w:bCs/>
      <w:sz w:val="20"/>
      <w:szCs w:val="20"/>
      <w:lang w:eastAsia="pt-BR"/>
    </w:rPr>
  </w:style>
  <w:style w:type="character" w:styleId="1158" w:customStyle="1">
    <w:name w:val="Nível 3 Char"/>
    <w:basedOn w:val="1150"/>
    <w:link w:val="1238"/>
    <w:qFormat/>
    <w:pPr>
      <w:pBdr/>
      <w:spacing/>
      <w:ind/>
    </w:pPr>
    <w:rPr>
      <w:rFonts w:eastAsia="Times New Roman"/>
      <w:i w:val="0"/>
      <w:iCs w:val="0"/>
      <w:color w:val="ff0000"/>
      <w:sz w:val="20"/>
      <w:szCs w:val="20"/>
    </w:rPr>
  </w:style>
  <w:style w:type="character" w:styleId="1159" w:customStyle="1">
    <w:name w:val="Nível 4 Char"/>
    <w:basedOn w:val="1158"/>
    <w:link w:val="1239"/>
    <w:qFormat/>
    <w:pPr>
      <w:pBdr/>
      <w:spacing/>
      <w:ind/>
    </w:pPr>
    <w:rPr>
      <w:rFonts w:ascii="Arial" w:hAnsi="Arial" w:eastAsia="Times New Roman" w:cs="Arial"/>
      <w:i w:val="0"/>
      <w:iCs w:val="0"/>
      <w:color w:val="ff0000"/>
      <w:sz w:val="20"/>
      <w:szCs w:val="20"/>
      <w:lang w:eastAsia="pt-BR"/>
    </w:rPr>
  </w:style>
  <w:style w:type="character" w:styleId="1160" w:customStyle="1">
    <w:name w:val="SubTitNN Char"/>
    <w:basedOn w:val="1072"/>
    <w:link w:val="1240"/>
    <w:qFormat/>
    <w:pPr>
      <w:pBdr/>
      <w:spacing/>
      <w:ind/>
    </w:pPr>
    <w:rPr>
      <w:rFonts w:ascii="Arial" w:hAnsi="Arial" w:eastAsia="Times New Roman" w:cs="Arial"/>
      <w:b/>
      <w:bCs/>
      <w:iCs/>
      <w:sz w:val="20"/>
      <w:szCs w:val="20"/>
      <w:lang w:eastAsia="pt-BR"/>
    </w:rPr>
  </w:style>
  <w:style w:type="character" w:styleId="1161" w:customStyle="1">
    <w:name w:val="Parágrafo da Lista Char"/>
    <w:basedOn w:val="1072"/>
    <w:link w:val="1210"/>
    <w:uiPriority w:val="34"/>
    <w:qFormat/>
    <w:pPr>
      <w:pBdr/>
      <w:spacing/>
      <w:ind/>
    </w:pPr>
    <w:rPr>
      <w:rFonts w:ascii="Arial" w:hAnsi="Arial" w:eastAsia="Times New Roman"/>
      <w:sz w:val="18"/>
      <w:szCs w:val="18"/>
      <w:lang w:eastAsia="pt-BR"/>
    </w:rPr>
  </w:style>
  <w:style w:type="character" w:styleId="1162" w:customStyle="1">
    <w:name w:val="tex3"/>
    <w:basedOn w:val="1072"/>
    <w:qFormat/>
    <w:pPr>
      <w:pBdr/>
      <w:spacing/>
      <w:ind/>
    </w:pPr>
  </w:style>
  <w:style w:type="character" w:styleId="1163" w:customStyle="1">
    <w:name w:val="Símbolos de numeração (user)"/>
    <w:qFormat/>
    <w:pPr>
      <w:pBdr/>
      <w:spacing/>
      <w:ind/>
    </w:pPr>
  </w:style>
  <w:style w:type="paragraph" w:styleId="1164">
    <w:name w:val="Título"/>
    <w:basedOn w:val="1056"/>
    <w:next w:val="1165"/>
    <w:qFormat/>
    <w:pPr>
      <w:keepNext w:val="true"/>
      <w:pBdr/>
      <w:spacing w:after="120" w:before="240"/>
      <w:ind/>
    </w:pPr>
    <w:rPr>
      <w:rFonts w:ascii="Liberation Sans" w:hAnsi="Liberation Sans" w:eastAsia="Microsoft YaHei" w:cs="Arial"/>
      <w:sz w:val="28"/>
      <w:szCs w:val="28"/>
    </w:rPr>
  </w:style>
  <w:style w:type="paragraph" w:styleId="1165">
    <w:name w:val="Body Text"/>
    <w:basedOn w:val="1056"/>
    <w:link w:val="1115"/>
    <w:uiPriority w:val="1"/>
    <w:qFormat/>
    <w:pPr>
      <w:pBdr/>
      <w:spacing/>
      <w:ind/>
    </w:pPr>
  </w:style>
  <w:style w:type="paragraph" w:styleId="1166">
    <w:name w:val="List"/>
    <w:basedOn w:val="1165"/>
    <w:pPr>
      <w:pBdr/>
      <w:spacing/>
      <w:ind/>
    </w:pPr>
  </w:style>
  <w:style w:type="paragraph" w:styleId="1167">
    <w:name w:val="Caption"/>
    <w:basedOn w:val="1056"/>
    <w:qFormat/>
    <w:pPr>
      <w:suppressLineNumbers w:val="true"/>
      <w:pBdr/>
      <w:spacing w:after="120" w:before="120"/>
      <w:ind/>
    </w:pPr>
    <w:rPr>
      <w:rFonts w:cs="Lucida Sans"/>
      <w:i/>
      <w:iCs/>
      <w:sz w:val="24"/>
      <w:szCs w:val="24"/>
    </w:rPr>
  </w:style>
  <w:style w:type="paragraph" w:styleId="1168">
    <w:name w:val="Índice"/>
    <w:basedOn w:val="1056"/>
    <w:qFormat/>
    <w:pPr>
      <w:suppressLineNumbers w:val="true"/>
      <w:pBdr/>
      <w:spacing/>
      <w:ind/>
    </w:pPr>
    <w:rPr>
      <w:rFonts w:cs="Arial"/>
    </w:rPr>
  </w:style>
  <w:style w:type="paragraph" w:styleId="1169">
    <w:name w:val="Título (user)"/>
    <w:basedOn w:val="1056"/>
    <w:next w:val="1165"/>
    <w:qFormat/>
    <w:pPr>
      <w:keepNext w:val="true"/>
      <w:pBdr/>
      <w:spacing w:after="120" w:before="240"/>
      <w:ind/>
    </w:pPr>
    <w:rPr>
      <w:rFonts w:ascii="Liberation Sans" w:hAnsi="Liberation Sans" w:eastAsia="Microsoft YaHei" w:cs="Lucida Sans"/>
      <w:sz w:val="28"/>
      <w:szCs w:val="28"/>
    </w:rPr>
  </w:style>
  <w:style w:type="paragraph" w:styleId="1170" w:customStyle="1">
    <w:name w:val="Índice (user)"/>
    <w:basedOn w:val="1056"/>
    <w:qFormat/>
    <w:pPr>
      <w:suppressLineNumbers w:val="true"/>
      <w:pBdr/>
      <w:spacing/>
      <w:ind/>
    </w:pPr>
  </w:style>
  <w:style w:type="paragraph" w:styleId="1171">
    <w:name w:val="Title"/>
    <w:basedOn w:val="1056"/>
    <w:next w:val="1165"/>
    <w:link w:val="1127"/>
    <w:qFormat/>
    <w:pPr>
      <w:widowControl w:val="false"/>
      <w:pBdr/>
      <w:spacing w:after="0" w:before="267"/>
      <w:ind w:right="2320" w:hanging="1116" w:left="3451"/>
      <w:jc w:val="left"/>
    </w:pPr>
    <w:rPr>
      <w:rFonts w:ascii="Tahoma" w:hAnsi="Tahoma" w:eastAsia="Tahoma" w:cs="Tahoma"/>
      <w:b/>
      <w:bCs/>
      <w:sz w:val="28"/>
      <w:szCs w:val="28"/>
      <w:u w:val="single"/>
      <w:lang w:val="pt-PT" w:eastAsia="en-US"/>
    </w:rPr>
  </w:style>
  <w:style w:type="paragraph" w:styleId="1172">
    <w:name w:val="caption1"/>
    <w:basedOn w:val="1056"/>
    <w:qFormat/>
    <w:pPr>
      <w:suppressLineNumbers w:val="true"/>
      <w:pBdr/>
      <w:spacing/>
      <w:ind/>
    </w:pPr>
    <w:rPr>
      <w:rFonts w:cs="Lucida Sans"/>
      <w:i/>
      <w:iCs/>
      <w:sz w:val="24"/>
      <w:szCs w:val="24"/>
    </w:rPr>
  </w:style>
  <w:style w:type="paragraph" w:styleId="1173" w:customStyle="1">
    <w:name w:val="caption11"/>
    <w:basedOn w:val="1056"/>
    <w:qFormat/>
    <w:pPr>
      <w:suppressLineNumbers w:val="true"/>
      <w:pBdr/>
      <w:spacing/>
      <w:ind/>
    </w:pPr>
    <w:rPr>
      <w:rFonts w:cs="Lucida Sans"/>
      <w:i/>
      <w:iCs/>
      <w:sz w:val="24"/>
      <w:szCs w:val="24"/>
    </w:rPr>
  </w:style>
  <w:style w:type="paragraph" w:styleId="1174" w:customStyle="1">
    <w:name w:val="caption111"/>
    <w:basedOn w:val="1056"/>
    <w:qFormat/>
    <w:pPr>
      <w:suppressLineNumbers w:val="true"/>
      <w:pBdr/>
      <w:spacing/>
      <w:ind/>
    </w:pPr>
    <w:rPr>
      <w:rFonts w:cs="Lucida Sans"/>
      <w:i/>
      <w:iCs/>
      <w:sz w:val="24"/>
      <w:szCs w:val="24"/>
    </w:rPr>
  </w:style>
  <w:style w:type="paragraph" w:styleId="1175" w:customStyle="1">
    <w:name w:val="caption1111"/>
    <w:basedOn w:val="1056"/>
    <w:qFormat/>
    <w:pPr>
      <w:suppressLineNumbers w:val="true"/>
      <w:pBdr/>
      <w:spacing/>
      <w:ind/>
    </w:pPr>
    <w:rPr>
      <w:rFonts w:cs="Lucida Sans"/>
      <w:i/>
      <w:iCs/>
      <w:sz w:val="24"/>
      <w:szCs w:val="24"/>
    </w:rPr>
  </w:style>
  <w:style w:type="paragraph" w:styleId="1176" w:customStyle="1">
    <w:name w:val="caption11111"/>
    <w:basedOn w:val="1056"/>
    <w:qFormat/>
    <w:pPr>
      <w:suppressLineNumbers w:val="true"/>
      <w:pBdr/>
      <w:spacing/>
      <w:ind/>
    </w:pPr>
    <w:rPr>
      <w:rFonts w:cs="Lucida Sans"/>
      <w:i/>
      <w:iCs/>
      <w:sz w:val="24"/>
      <w:szCs w:val="24"/>
    </w:rPr>
  </w:style>
  <w:style w:type="paragraph" w:styleId="1177" w:customStyle="1">
    <w:name w:val="caption111111"/>
    <w:basedOn w:val="1056"/>
    <w:qFormat/>
    <w:pPr>
      <w:suppressLineNumbers w:val="true"/>
      <w:pBdr/>
      <w:spacing/>
      <w:ind/>
    </w:pPr>
    <w:rPr>
      <w:i/>
      <w:iCs/>
      <w:sz w:val="24"/>
      <w:szCs w:val="24"/>
    </w:rPr>
  </w:style>
  <w:style w:type="paragraph" w:styleId="1178" w:customStyle="1">
    <w:name w:val="caption1111111"/>
    <w:basedOn w:val="1056"/>
    <w:qFormat/>
    <w:pPr>
      <w:suppressLineNumbers w:val="true"/>
      <w:pBdr/>
      <w:spacing/>
      <w:ind/>
    </w:pPr>
    <w:rPr>
      <w:i/>
      <w:iCs/>
      <w:sz w:val="24"/>
      <w:szCs w:val="24"/>
    </w:rPr>
  </w:style>
  <w:style w:type="paragraph" w:styleId="1179">
    <w:name w:val="No Spacing"/>
    <w:uiPriority w:val="1"/>
    <w:qFormat/>
    <w:pPr>
      <w:widowControl w:val="true"/>
      <w:pBdr/>
      <w:bidi w:val="false"/>
      <w:spacing w:after="120" w:before="120"/>
      <w:ind/>
      <w:jc w:val="both"/>
    </w:pPr>
    <w:rPr>
      <w:rFonts w:ascii="Arial" w:hAnsi="Arial" w:eastAsia="Arial" w:cs="Arial"/>
      <w:color w:val="auto"/>
      <w:sz w:val="18"/>
      <w:szCs w:val="18"/>
      <w:lang w:val="pt-BR" w:eastAsia="pt-BR" w:bidi="ar-SA"/>
    </w:rPr>
  </w:style>
  <w:style w:type="paragraph" w:styleId="1180">
    <w:name w:val="Subtitle"/>
    <w:basedOn w:val="1056"/>
    <w:next w:val="1056"/>
    <w:link w:val="1096"/>
    <w:qFormat/>
    <w:pPr>
      <w:pBdr/>
      <w:spacing w:after="200" w:before="200"/>
      <w:ind/>
    </w:pPr>
    <w:rPr>
      <w:rFonts w:ascii="Calibri" w:hAnsi="Calibri" w:eastAsia="Calibri" w:cs="Calibri"/>
      <w:sz w:val="24"/>
      <w:szCs w:val="24"/>
    </w:rPr>
  </w:style>
  <w:style w:type="paragraph" w:styleId="1181">
    <w:name w:val="Intense Quote"/>
    <w:basedOn w:val="1056"/>
    <w:next w:val="1056"/>
    <w:link w:val="1098"/>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pPr>
    <w:rPr>
      <w:rFonts w:ascii="Calibri" w:hAnsi="Calibri" w:eastAsia="Calibri" w:asciiTheme="minorHAnsi" w:hAnsiTheme="minorHAnsi" w:eastAsiaTheme="minorHAnsi"/>
      <w:i/>
      <w:sz w:val="22"/>
      <w:szCs w:val="22"/>
      <w:lang w:eastAsia="en-US"/>
    </w:rPr>
  </w:style>
  <w:style w:type="paragraph" w:styleId="1182" w:customStyle="1">
    <w:name w:val="caption11111111"/>
    <w:basedOn w:val="1056"/>
    <w:next w:val="1056"/>
    <w:unhideWhenUsed/>
    <w:qFormat/>
    <w:pPr>
      <w:pBdr/>
      <w:spacing w:line="276" w:lineRule="auto"/>
      <w:ind/>
    </w:pPr>
    <w:rPr>
      <w:b/>
      <w:bCs/>
      <w:color w:val="5b9bd5" w:themeColor="accent1"/>
    </w:rPr>
  </w:style>
  <w:style w:type="paragraph" w:styleId="1183">
    <w:name w:val="footnote text"/>
    <w:basedOn w:val="1056"/>
    <w:link w:val="1102"/>
    <w:uiPriority w:val="99"/>
    <w:semiHidden/>
    <w:unhideWhenUsed/>
    <w:pPr>
      <w:pBdr/>
      <w:spacing w:after="40" w:before="120"/>
      <w:ind/>
    </w:pPr>
    <w:rPr>
      <w:rFonts w:ascii="Calibri" w:hAnsi="Calibri" w:eastAsia="Calibri" w:asciiTheme="minorHAnsi" w:hAnsiTheme="minorHAnsi" w:eastAsiaTheme="minorHAnsi"/>
      <w:szCs w:val="22"/>
      <w:lang w:eastAsia="en-US"/>
    </w:rPr>
  </w:style>
  <w:style w:type="paragraph" w:styleId="1184">
    <w:name w:val="endnote text"/>
    <w:basedOn w:val="1056"/>
    <w:link w:val="1106"/>
    <w:uiPriority w:val="99"/>
    <w:semiHidden/>
    <w:unhideWhenUsed/>
    <w:pPr>
      <w:pBdr/>
      <w:spacing w:after="0" w:before="120"/>
      <w:ind/>
    </w:pPr>
    <w:rPr>
      <w:rFonts w:ascii="Calibri" w:hAnsi="Calibri" w:eastAsia="Calibri" w:asciiTheme="minorHAnsi" w:hAnsiTheme="minorHAnsi" w:eastAsiaTheme="minorHAnsi"/>
      <w:sz w:val="20"/>
      <w:szCs w:val="22"/>
      <w:lang w:eastAsia="en-US"/>
    </w:rPr>
  </w:style>
  <w:style w:type="paragraph" w:styleId="1185">
    <w:name w:val="toc 1"/>
    <w:basedOn w:val="1056"/>
    <w:next w:val="1056"/>
    <w:uiPriority w:val="39"/>
    <w:unhideWhenUsed/>
    <w:pPr>
      <w:pBdr/>
      <w:spacing w:after="57" w:before="120"/>
      <w:ind/>
    </w:pPr>
  </w:style>
  <w:style w:type="paragraph" w:styleId="1186">
    <w:name w:val="toc 2"/>
    <w:basedOn w:val="1056"/>
    <w:next w:val="1056"/>
    <w:uiPriority w:val="39"/>
    <w:unhideWhenUsed/>
    <w:pPr>
      <w:pBdr/>
      <w:spacing w:after="57" w:before="120"/>
      <w:ind w:left="283"/>
    </w:pPr>
  </w:style>
  <w:style w:type="paragraph" w:styleId="1187">
    <w:name w:val="toc 3"/>
    <w:basedOn w:val="1056"/>
    <w:next w:val="1056"/>
    <w:uiPriority w:val="39"/>
    <w:unhideWhenUsed/>
    <w:pPr>
      <w:pBdr/>
      <w:spacing w:after="57" w:before="120"/>
      <w:ind w:left="567"/>
    </w:pPr>
  </w:style>
  <w:style w:type="paragraph" w:styleId="1188">
    <w:name w:val="toc 4"/>
    <w:basedOn w:val="1056"/>
    <w:next w:val="1056"/>
    <w:uiPriority w:val="39"/>
    <w:unhideWhenUsed/>
    <w:pPr>
      <w:pBdr/>
      <w:spacing w:after="57" w:before="120"/>
      <w:ind w:left="850"/>
    </w:pPr>
  </w:style>
  <w:style w:type="paragraph" w:styleId="1189">
    <w:name w:val="toc 5"/>
    <w:basedOn w:val="1056"/>
    <w:next w:val="1056"/>
    <w:uiPriority w:val="39"/>
    <w:unhideWhenUsed/>
    <w:pPr>
      <w:pBdr/>
      <w:spacing w:after="57" w:before="120"/>
      <w:ind w:left="1134"/>
    </w:pPr>
  </w:style>
  <w:style w:type="paragraph" w:styleId="1190">
    <w:name w:val="toc 6"/>
    <w:basedOn w:val="1056"/>
    <w:next w:val="1056"/>
    <w:uiPriority w:val="39"/>
    <w:unhideWhenUsed/>
    <w:pPr>
      <w:pBdr/>
      <w:spacing w:after="57" w:before="120"/>
      <w:ind w:left="1417"/>
    </w:pPr>
  </w:style>
  <w:style w:type="paragraph" w:styleId="1191">
    <w:name w:val="toc 7"/>
    <w:basedOn w:val="1056"/>
    <w:next w:val="1056"/>
    <w:uiPriority w:val="39"/>
    <w:unhideWhenUsed/>
    <w:pPr>
      <w:pBdr/>
      <w:spacing w:after="57" w:before="120"/>
      <w:ind w:left="1701"/>
    </w:pPr>
  </w:style>
  <w:style w:type="paragraph" w:styleId="1192">
    <w:name w:val="toc 8"/>
    <w:basedOn w:val="1056"/>
    <w:next w:val="1056"/>
    <w:uiPriority w:val="39"/>
    <w:unhideWhenUsed/>
    <w:pPr>
      <w:pBdr/>
      <w:spacing w:after="57" w:before="120"/>
      <w:ind w:left="1984"/>
    </w:pPr>
  </w:style>
  <w:style w:type="paragraph" w:styleId="1193">
    <w:name w:val="toc 9"/>
    <w:basedOn w:val="1056"/>
    <w:next w:val="1056"/>
    <w:uiPriority w:val="39"/>
    <w:unhideWhenUsed/>
    <w:pPr>
      <w:pBdr/>
      <w:spacing w:after="57" w:before="120"/>
      <w:ind w:left="2268"/>
    </w:pPr>
  </w:style>
  <w:style w:type="paragraph" w:styleId="1194">
    <w:name w:val="index 1"/>
    <w:basedOn w:val="1056"/>
    <w:next w:val="1056"/>
    <w:uiPriority w:val="99"/>
    <w:semiHidden/>
    <w:unhideWhenUsed/>
    <w:qFormat/>
    <w:pPr>
      <w:pBdr/>
      <w:spacing w:after="0" w:before="0"/>
      <w:ind w:hanging="180" w:left="180"/>
    </w:pPr>
  </w:style>
  <w:style w:type="paragraph" w:styleId="1195" w:customStyle="1">
    <w:name w:val="index heading1"/>
    <w:basedOn w:val="1171"/>
    <w:qFormat/>
    <w:pPr>
      <w:pBdr/>
      <w:spacing/>
      <w:ind/>
    </w:pPr>
  </w:style>
  <w:style w:type="paragraph" w:styleId="1196" w:customStyle="1">
    <w:name w:val="index heading2"/>
    <w:basedOn w:val="1171"/>
    <w:qFormat/>
    <w:pPr>
      <w:pBdr/>
      <w:spacing/>
      <w:ind/>
    </w:pPr>
  </w:style>
  <w:style w:type="paragraph" w:styleId="1197" w:customStyle="1">
    <w:name w:val="index heading3"/>
    <w:basedOn w:val="1171"/>
    <w:qFormat/>
    <w:pPr>
      <w:pBdr/>
      <w:spacing/>
      <w:ind/>
    </w:pPr>
  </w:style>
  <w:style w:type="paragraph" w:styleId="1198" w:customStyle="1">
    <w:name w:val="index heading4"/>
    <w:basedOn w:val="1171"/>
    <w:qFormat/>
    <w:pPr>
      <w:pBdr/>
      <w:spacing/>
      <w:ind/>
    </w:pPr>
  </w:style>
  <w:style w:type="paragraph" w:styleId="1199" w:customStyle="1">
    <w:name w:val="index heading5"/>
    <w:basedOn w:val="1171"/>
    <w:qFormat/>
    <w:pPr>
      <w:pBdr/>
      <w:spacing/>
      <w:ind/>
    </w:pPr>
  </w:style>
  <w:style w:type="paragraph" w:styleId="1200" w:customStyle="1">
    <w:name w:val="index heading6"/>
    <w:basedOn w:val="1171"/>
    <w:qFormat/>
    <w:pPr>
      <w:pBdr/>
      <w:spacing/>
      <w:ind/>
    </w:pPr>
  </w:style>
  <w:style w:type="paragraph" w:styleId="1201">
    <w:name w:val="index heading7"/>
    <w:basedOn w:val="1171"/>
    <w:qFormat/>
    <w:pPr>
      <w:pBdr/>
      <w:spacing/>
      <w:ind/>
    </w:pPr>
  </w:style>
  <w:style w:type="paragraph" w:styleId="1202">
    <w:name w:val="index heading"/>
    <w:basedOn w:val="1169"/>
    <w:pPr>
      <w:pBdr/>
      <w:spacing/>
      <w:ind/>
    </w:pPr>
  </w:style>
  <w:style w:type="paragraph" w:styleId="1203">
    <w:name w:val="TOC Heading"/>
    <w:uiPriority w:val="39"/>
    <w:unhideWhenUsed/>
    <w:qFormat/>
    <w:pPr>
      <w:widowControl w:val="true"/>
      <w:pBdr/>
      <w:bidi w:val="false"/>
      <w:spacing w:after="160" w:before="120" w:line="259" w:lineRule="auto"/>
      <w:ind/>
      <w:jc w:val="both"/>
    </w:pPr>
    <w:rPr>
      <w:rFonts w:ascii="Arial" w:hAnsi="Arial" w:eastAsia="Arial" w:cs="Arial"/>
      <w:color w:val="auto"/>
      <w:sz w:val="18"/>
      <w:szCs w:val="18"/>
      <w:lang w:val="pt-BR" w:eastAsia="pt-BR" w:bidi="ar-SA"/>
    </w:rPr>
  </w:style>
  <w:style w:type="paragraph" w:styleId="1204">
    <w:name w:val="table of figures"/>
    <w:basedOn w:val="1056"/>
    <w:next w:val="1056"/>
    <w:uiPriority w:val="99"/>
    <w:unhideWhenUsed/>
    <w:pPr>
      <w:pBdr/>
      <w:spacing w:after="0" w:before="120"/>
      <w:ind/>
    </w:pPr>
  </w:style>
  <w:style w:type="paragraph" w:styleId="1205" w:customStyle="1">
    <w:name w:val="Cabeçalho e Rodapé"/>
    <w:basedOn w:val="1056"/>
    <w:qFormat/>
    <w:pPr>
      <w:pBdr/>
      <w:spacing/>
      <w:ind/>
    </w:pPr>
  </w:style>
  <w:style w:type="paragraph" w:styleId="1206">
    <w:name w:val="Cabeçalho e rodapé1"/>
    <w:basedOn w:val="1056"/>
    <w:qFormat/>
    <w:pPr>
      <w:pBdr/>
      <w:spacing/>
      <w:ind/>
    </w:pPr>
  </w:style>
  <w:style w:type="paragraph" w:styleId="1207">
    <w:name w:val="Header"/>
    <w:basedOn w:val="1056"/>
    <w:link w:val="1111"/>
    <w:uiPriority w:val="99"/>
    <w:pPr>
      <w:pBdr/>
      <w:tabs>
        <w:tab w:val="clear" w:leader="none" w:pos="720"/>
        <w:tab w:val="center" w:leader="none" w:pos="4419"/>
        <w:tab w:val="right" w:leader="none" w:pos="8838"/>
      </w:tabs>
      <w:spacing/>
      <w:ind/>
    </w:pPr>
    <w:rPr>
      <w:sz w:val="24"/>
    </w:rPr>
  </w:style>
  <w:style w:type="paragraph" w:styleId="1208">
    <w:name w:val="Footer"/>
    <w:basedOn w:val="1056"/>
    <w:link w:val="1112"/>
    <w:uiPriority w:val="99"/>
    <w:pPr>
      <w:pBdr/>
      <w:tabs>
        <w:tab w:val="clear" w:leader="none" w:pos="720"/>
        <w:tab w:val="center" w:leader="none" w:pos="4419"/>
        <w:tab w:val="right" w:leader="none" w:pos="8838"/>
      </w:tabs>
      <w:spacing/>
      <w:ind/>
    </w:pPr>
    <w:rPr>
      <w:sz w:val="24"/>
    </w:rPr>
  </w:style>
  <w:style w:type="paragraph" w:styleId="1209">
    <w:name w:val="Body Text 2"/>
    <w:basedOn w:val="1056"/>
    <w:link w:val="1113"/>
    <w:uiPriority w:val="99"/>
    <w:qFormat/>
    <w:pPr>
      <w:pBdr/>
      <w:tabs>
        <w:tab w:val="clear" w:leader="none" w:pos="720"/>
        <w:tab w:val="left" w:leader="none" w:pos="9712"/>
      </w:tabs>
      <w:spacing/>
      <w:ind w:right="355"/>
      <w:jc w:val="center"/>
    </w:pPr>
    <w:rPr>
      <w:rFonts w:ascii="Tahoma" w:hAnsi="Tahoma"/>
      <w:b/>
      <w:sz w:val="36"/>
      <w:u w:val="single"/>
    </w:rPr>
  </w:style>
  <w:style w:type="paragraph" w:styleId="1210">
    <w:name w:val="List Paragraph"/>
    <w:basedOn w:val="1056"/>
    <w:link w:val="1161"/>
    <w:qFormat/>
    <w:pPr>
      <w:pBdr/>
      <w:spacing w:after="120" w:before="120"/>
      <w:ind w:left="720"/>
      <w:contextualSpacing w:val="true"/>
    </w:pPr>
  </w:style>
  <w:style w:type="paragraph" w:styleId="1211">
    <w:name w:val="Body Text Indent"/>
    <w:basedOn w:val="1056"/>
    <w:link w:val="1118"/>
    <w:uiPriority w:val="99"/>
    <w:semiHidden/>
    <w:unhideWhenUsed/>
    <w:pPr>
      <w:pBdr/>
      <w:spacing/>
      <w:ind w:left="283"/>
    </w:pPr>
  </w:style>
  <w:style w:type="paragraph" w:styleId="1212">
    <w:name w:val="Body Text Indent 2"/>
    <w:basedOn w:val="1056"/>
    <w:link w:val="1120"/>
    <w:uiPriority w:val="99"/>
    <w:semiHidden/>
    <w:unhideWhenUsed/>
    <w:qFormat/>
    <w:pPr>
      <w:pBdr/>
      <w:spacing w:line="480" w:lineRule="auto"/>
      <w:ind w:left="283"/>
    </w:pPr>
  </w:style>
  <w:style w:type="paragraph" w:styleId="1213">
    <w:name w:val="Body Text 3"/>
    <w:basedOn w:val="1056"/>
    <w:link w:val="1121"/>
    <w:uiPriority w:val="99"/>
    <w:semiHidden/>
    <w:unhideWhenUsed/>
    <w:qFormat/>
    <w:pPr>
      <w:pBdr/>
      <w:spacing/>
      <w:ind/>
    </w:pPr>
    <w:rPr>
      <w:rFonts w:cs="Times New Roman"/>
      <w:sz w:val="16"/>
      <w:szCs w:val="16"/>
    </w:rPr>
  </w:style>
  <w:style w:type="paragraph" w:styleId="1214" w:customStyle="1">
    <w:name w:val="Default"/>
    <w:qFormat/>
    <w:pPr>
      <w:widowControl w:val="true"/>
      <w:pBdr/>
      <w:bidi w:val="false"/>
      <w:spacing w:after="120" w:before="120"/>
      <w:ind/>
      <w:jc w:val="both"/>
    </w:pPr>
    <w:rPr>
      <w:rFonts w:ascii="Times New Roman" w:hAnsi="Times New Roman" w:eastAsia="Times New Roman" w:cs="Times New Roman"/>
      <w:color w:val="000000"/>
      <w:sz w:val="24"/>
      <w:szCs w:val="24"/>
      <w:lang w:val="pt-BR" w:eastAsia="pt-BR" w:bidi="ar-SA"/>
    </w:rPr>
  </w:style>
  <w:style w:type="paragraph" w:styleId="1215" w:customStyle="1">
    <w:name w:val="EEE"/>
    <w:basedOn w:val="1056"/>
    <w:qFormat/>
    <w:pPr>
      <w:pBdr/>
      <w:tabs>
        <w:tab w:val="left" w:leader="none" w:pos="709"/>
        <w:tab w:val="clear" w:leader="none" w:pos="720"/>
        <w:tab w:val="left" w:leader="none" w:pos="1134"/>
        <w:tab w:val="left" w:leader="none" w:pos="1276"/>
        <w:tab w:val="left" w:leader="none" w:pos="1418"/>
        <w:tab w:val="left" w:leader="none" w:pos="1701"/>
      </w:tabs>
      <w:spacing/>
      <w:ind w:hanging="709" w:left="1418"/>
    </w:pPr>
    <w:rPr>
      <w:rFonts w:cs="Times New Roman"/>
      <w:sz w:val="20"/>
      <w:szCs w:val="20"/>
      <w:lang w:val="pt-PT"/>
    </w:rPr>
  </w:style>
  <w:style w:type="paragraph" w:styleId="1216" w:customStyle="1">
    <w:name w:val="LLL"/>
    <w:basedOn w:val="1056"/>
    <w:qFormat/>
    <w:pPr>
      <w:pBdr/>
      <w:tabs>
        <w:tab w:val="left" w:leader="none" w:pos="567"/>
        <w:tab w:val="clear" w:leader="none" w:pos="720"/>
        <w:tab w:val="left" w:leader="none" w:pos="851"/>
      </w:tabs>
      <w:spacing/>
      <w:ind w:hanging="851" w:left="851"/>
    </w:pPr>
    <w:rPr>
      <w:rFonts w:cs="Times New Roman"/>
      <w:sz w:val="20"/>
      <w:szCs w:val="20"/>
      <w:lang w:val="pt-PT"/>
    </w:rPr>
  </w:style>
  <w:style w:type="paragraph" w:styleId="1217">
    <w:name w:val="Balloon Text"/>
    <w:basedOn w:val="1056"/>
    <w:link w:val="1123"/>
    <w:uiPriority w:val="99"/>
    <w:semiHidden/>
    <w:unhideWhenUsed/>
    <w:qFormat/>
    <w:pPr>
      <w:pBdr/>
      <w:spacing/>
      <w:ind/>
    </w:pPr>
    <w:rPr>
      <w:rFonts w:ascii="Tahoma" w:hAnsi="Tahoma" w:cs="Tahoma"/>
      <w:sz w:val="16"/>
      <w:szCs w:val="16"/>
    </w:rPr>
  </w:style>
  <w:style w:type="paragraph" w:styleId="1218">
    <w:name w:val="Plain Text"/>
    <w:basedOn w:val="1056"/>
    <w:link w:val="1124"/>
    <w:semiHidden/>
    <w:qFormat/>
    <w:pPr>
      <w:pBdr/>
      <w:spacing w:after="0" w:before="0"/>
      <w:ind/>
      <w:jc w:val="left"/>
    </w:pPr>
    <w:rPr>
      <w:rFonts w:ascii="Courier New" w:hAnsi="Courier New" w:cs="Times New Roman"/>
      <w:sz w:val="20"/>
      <w:szCs w:val="20"/>
    </w:rPr>
  </w:style>
  <w:style w:type="paragraph" w:styleId="1219" w:customStyle="1">
    <w:name w:val="western"/>
    <w:basedOn w:val="1056"/>
    <w:qFormat/>
    <w:pPr>
      <w:pBdr/>
      <w:spacing w:after="119" w:beforeAutospacing="1"/>
      <w:ind/>
      <w:jc w:val="left"/>
    </w:pPr>
    <w:rPr>
      <w:rFonts w:ascii="Times New Roman" w:hAnsi="Times New Roman" w:cs="Times New Roman"/>
      <w:sz w:val="24"/>
      <w:szCs w:val="24"/>
    </w:rPr>
  </w:style>
  <w:style w:type="paragraph" w:styleId="1220" w:customStyle="1">
    <w:name w:val="Nivel1"/>
    <w:basedOn w:val="1057"/>
    <w:next w:val="1056"/>
    <w:link w:val="1125"/>
    <w:qFormat/>
    <w:pPr>
      <w:keepLines w:val="true"/>
      <w:numPr>
        <w:ilvl w:val="0"/>
        <w:numId w:val="2"/>
      </w:numPr>
      <w:pBdr/>
      <w:spacing w:after="120" w:before="480" w:line="276" w:lineRule="auto"/>
      <w:ind/>
      <w:jc w:val="both"/>
    </w:pPr>
    <w:rPr>
      <w:rFonts w:ascii="Arial" w:hAnsi="Arial" w:eastAsia="Arial" w:eastAsiaTheme="majorEastAsia"/>
      <w:color w:val="000000"/>
      <w:sz w:val="20"/>
      <w:szCs w:val="20"/>
      <w:u w:val="none"/>
    </w:rPr>
  </w:style>
  <w:style w:type="paragraph" w:styleId="1221" w:customStyle="1">
    <w:name w:val="Padrão"/>
    <w:qFormat/>
    <w:pPr>
      <w:widowControl w:val="true"/>
      <w:pBdr/>
      <w:bidi w:val="false"/>
      <w:spacing w:after="120" w:before="120"/>
      <w:ind/>
      <w:jc w:val="both"/>
    </w:pPr>
    <w:rPr>
      <w:rFonts w:ascii="Times New Roman" w:hAnsi="Times New Roman" w:eastAsia="Times New Roman" w:cs="Times New Roman"/>
      <w:color w:val="auto"/>
      <w:sz w:val="20"/>
      <w:szCs w:val="24"/>
      <w:lang w:val="pt-BR" w:eastAsia="pt-BR" w:bidi="ar-SA"/>
    </w:rPr>
  </w:style>
  <w:style w:type="paragraph" w:styleId="1222" w:customStyle="1">
    <w:name w:val="Table Paragraph"/>
    <w:basedOn w:val="1056"/>
    <w:uiPriority w:val="1"/>
    <w:qFormat/>
    <w:pPr>
      <w:widowControl w:val="false"/>
      <w:pBdr/>
      <w:spacing w:after="0" w:before="0"/>
      <w:ind/>
      <w:jc w:val="left"/>
    </w:pPr>
    <w:rPr>
      <w:rFonts w:ascii="Tahoma" w:hAnsi="Tahoma" w:eastAsia="Tahoma" w:cs="Tahoma"/>
      <w:sz w:val="22"/>
      <w:szCs w:val="22"/>
      <w:lang w:val="pt-PT" w:eastAsia="en-US"/>
    </w:rPr>
  </w:style>
  <w:style w:type="paragraph" w:styleId="1223">
    <w:name w:val="Quote"/>
    <w:basedOn w:val="1056"/>
    <w:next w:val="1056"/>
    <w:link w:val="1128"/>
    <w:qFormat/>
    <w:pPr>
      <w:pBdr>
        <w:top w:val="single" w:color="1f497d" w:sz="4" w:space="1"/>
        <w:left w:val="single" w:color="1f497d" w:sz="4" w:space="4"/>
        <w:bottom w:val="single" w:color="1f497d" w:sz="4" w:space="1"/>
        <w:right w:val="single" w:color="1f497d" w:sz="4" w:space="4"/>
      </w:pBdr>
      <w:shd w:val="clear" w:color="auto" w:fill="ffffcc"/>
      <w:spacing w:after="0" w:before="120"/>
      <w:ind/>
    </w:pPr>
    <w:rPr>
      <w:rFonts w:eastAsia="Calibri" w:cs="Tahoma"/>
      <w:i/>
      <w:iCs/>
      <w:color w:val="000000"/>
      <w:sz w:val="20"/>
      <w:szCs w:val="24"/>
      <w:lang w:eastAsia="en-US"/>
    </w:rPr>
  </w:style>
  <w:style w:type="paragraph" w:styleId="1224" w:customStyle="1">
    <w:name w:val="EMPTY_CELL_STYLE"/>
    <w:qFormat/>
    <w:pPr>
      <w:widowControl w:val="true"/>
      <w:pBdr/>
      <w:bidi w:val="false"/>
      <w:spacing w:after="120" w:before="120"/>
      <w:ind/>
      <w:jc w:val="both"/>
    </w:pPr>
    <w:rPr>
      <w:rFonts w:ascii="SansSerif" w:hAnsi="SansSerif" w:eastAsia="SansSerif" w:cs="SansSerif"/>
      <w:color w:val="000000"/>
      <w:sz w:val="1"/>
      <w:szCs w:val="20"/>
      <w:lang w:val="pt-BR" w:eastAsia="pt-BR" w:bidi="ar-SA"/>
    </w:rPr>
  </w:style>
  <w:style w:type="paragraph" w:styleId="1225" w:customStyle="1">
    <w:name w:val="Conteúdo do quadro (user)"/>
    <w:basedOn w:val="1056"/>
    <w:qFormat/>
    <w:pPr>
      <w:pBdr/>
      <w:spacing/>
      <w:ind/>
    </w:pPr>
  </w:style>
  <w:style w:type="paragraph" w:styleId="1226">
    <w:name w:val="annotation text"/>
    <w:basedOn w:val="1056"/>
    <w:link w:val="1145"/>
    <w:uiPriority w:val="99"/>
    <w:unhideWhenUsed/>
    <w:qFormat/>
    <w:pPr>
      <w:pBdr/>
      <w:spacing w:after="0" w:before="0"/>
      <w:ind/>
      <w:jc w:val="left"/>
    </w:pPr>
    <w:rPr>
      <w:rFonts w:ascii="Ecofont_Spranq_eco_Sans" w:hAnsi="Ecofont_Spranq_eco_Sans" w:eastAsia="Arial" w:cs="Tahoma" w:eastAsiaTheme="minorEastAsia"/>
      <w:sz w:val="20"/>
      <w:szCs w:val="20"/>
    </w:rPr>
  </w:style>
  <w:style w:type="paragraph" w:styleId="1227" w:customStyle="1">
    <w:name w:val="Nivel 01"/>
    <w:basedOn w:val="1057"/>
    <w:next w:val="1056"/>
    <w:link w:val="1151"/>
    <w:qFormat/>
    <w:pPr>
      <w:keepLines w:val="true"/>
      <w:numPr>
        <w:ilvl w:val="0"/>
        <w:numId w:val="16"/>
      </w:numPr>
      <w:pBdr/>
      <w:tabs>
        <w:tab w:val="left" w:leader="none" w:pos="0"/>
        <w:tab w:val="left" w:leader="none" w:pos="142"/>
        <w:tab w:val="clear" w:leader="none" w:pos="720"/>
      </w:tabs>
      <w:spacing w:after="288" w:before="288" w:line="312" w:lineRule="auto"/>
      <w:ind w:firstLine="0" w:left="0"/>
      <w:jc w:val="both"/>
    </w:pPr>
    <w:rPr>
      <w:rFonts w:ascii="Arial" w:hAnsi="Arial" w:eastAsia="Arial" w:eastAsiaTheme="majorEastAsia"/>
      <w:bCs/>
      <w:sz w:val="24"/>
      <w:szCs w:val="24"/>
      <w:u w:val="single"/>
      <w:lang w:val="pt-PT"/>
    </w:rPr>
  </w:style>
  <w:style w:type="paragraph" w:styleId="1228" w:customStyle="1">
    <w:name w:val="Nivel 2"/>
    <w:basedOn w:val="1056"/>
    <w:link w:val="1147"/>
    <w:qFormat/>
    <w:pPr>
      <w:numPr>
        <w:ilvl w:val="1"/>
        <w:numId w:val="8"/>
      </w:numPr>
      <w:pBdr/>
      <w:spacing w:line="276" w:lineRule="auto"/>
      <w:ind w:firstLine="0" w:left="0"/>
    </w:pPr>
    <w:rPr>
      <w:rFonts w:eastAsia="Arial" w:eastAsiaTheme="minorEastAsia"/>
      <w:color w:val="000000"/>
      <w:sz w:val="20"/>
      <w:szCs w:val="20"/>
    </w:rPr>
  </w:style>
  <w:style w:type="paragraph" w:styleId="1229" w:customStyle="1">
    <w:name w:val="Nivel 3"/>
    <w:basedOn w:val="1056"/>
    <w:link w:val="1149"/>
    <w:qFormat/>
    <w:pPr>
      <w:numPr>
        <w:ilvl w:val="2"/>
        <w:numId w:val="8"/>
      </w:numPr>
      <w:pBdr/>
      <w:spacing w:line="276" w:lineRule="auto"/>
      <w:ind w:firstLine="0" w:left="284"/>
    </w:pPr>
    <w:rPr>
      <w:rFonts w:eastAsia="Arial" w:eastAsiaTheme="minorEastAsia"/>
      <w:color w:val="000000"/>
      <w:sz w:val="20"/>
      <w:szCs w:val="20"/>
    </w:rPr>
  </w:style>
  <w:style w:type="paragraph" w:styleId="1230" w:customStyle="1">
    <w:name w:val="Nivel 4"/>
    <w:basedOn w:val="1229"/>
    <w:link w:val="1146"/>
    <w:qFormat/>
    <w:pPr>
      <w:pBdr/>
      <w:tabs>
        <w:tab w:val="clear" w:leader="none" w:pos="720"/>
        <w:tab w:val="left" w:leader="none" w:pos="1080"/>
      </w:tabs>
      <w:spacing/>
      <w:ind w:left="567"/>
    </w:pPr>
    <w:rPr>
      <w:color w:val="auto"/>
    </w:rPr>
  </w:style>
  <w:style w:type="paragraph" w:styleId="1231" w:customStyle="1">
    <w:name w:val="Nivel 5"/>
    <w:basedOn w:val="1230"/>
    <w:qFormat/>
    <w:pPr>
      <w:pBdr/>
      <w:spacing/>
      <w:ind w:left="851"/>
    </w:pPr>
  </w:style>
  <w:style w:type="paragraph" w:styleId="1232" w:customStyle="1">
    <w:name w:val="Nível 2 -Red"/>
    <w:basedOn w:val="1228"/>
    <w:link w:val="1148"/>
    <w:qFormat/>
    <w:pPr>
      <w:pBdr/>
      <w:spacing/>
      <w:ind/>
    </w:pPr>
    <w:rPr>
      <w:i/>
      <w:iCs/>
      <w:color w:val="ff0000"/>
    </w:rPr>
  </w:style>
  <w:style w:type="paragraph" w:styleId="1233" w:customStyle="1">
    <w:name w:val="Nível 3-R"/>
    <w:basedOn w:val="1229"/>
    <w:link w:val="1150"/>
    <w:qFormat/>
    <w:pPr>
      <w:pBdr/>
      <w:spacing/>
      <w:ind/>
    </w:pPr>
    <w:rPr>
      <w:i/>
      <w:iCs/>
      <w:color w:val="ff0000"/>
    </w:rPr>
  </w:style>
  <w:style w:type="paragraph" w:styleId="1234" w:customStyle="1">
    <w:name w:val="ou"/>
    <w:basedOn w:val="1210"/>
    <w:link w:val="1154"/>
    <w:qFormat/>
    <w:pPr>
      <w:pBdr/>
      <w:spacing w:after="60" w:before="60" w:line="259" w:lineRule="auto"/>
      <w:ind w:left="0"/>
      <w:contextualSpacing w:val="false"/>
      <w:jc w:val="center"/>
    </w:pPr>
    <w:rPr>
      <w:rFonts w:eastAsia="Calibri" w:eastAsiaTheme="minorHAnsi"/>
      <w:b/>
      <w:bCs/>
      <w:i/>
      <w:iCs/>
      <w:color w:val="ff0000"/>
      <w:sz w:val="24"/>
      <w:szCs w:val="24"/>
      <w:u w:val="single"/>
    </w:rPr>
  </w:style>
  <w:style w:type="paragraph" w:styleId="1235" w:customStyle="1">
    <w:name w:val="Nível 4-R"/>
    <w:basedOn w:val="1230"/>
    <w:link w:val="1155"/>
    <w:qFormat/>
    <w:pPr>
      <w:numPr>
        <w:ilvl w:val="3"/>
        <w:numId w:val="1"/>
      </w:numPr>
      <w:pBdr/>
      <w:spacing/>
      <w:ind w:firstLine="0" w:left="567"/>
    </w:pPr>
    <w:rPr>
      <w:i/>
      <w:iCs/>
      <w:color w:val="ff0000"/>
    </w:rPr>
  </w:style>
  <w:style w:type="paragraph" w:styleId="1236" w:customStyle="1">
    <w:name w:val="Nível 2 Opcional"/>
    <w:basedOn w:val="1228"/>
    <w:link w:val="1156"/>
    <w:qFormat/>
    <w:pPr>
      <w:numPr>
        <w:ilvl w:val="0"/>
        <w:numId w:val="0"/>
      </w:numPr>
      <w:pBdr/>
      <w:spacing/>
      <w:ind w:hanging="432" w:left="432"/>
    </w:pPr>
    <w:rPr>
      <w:rFonts w:eastAsia="Times New Roman"/>
      <w:i/>
      <w:color w:val="ff0000"/>
    </w:rPr>
  </w:style>
  <w:style w:type="paragraph" w:styleId="1237">
    <w:name w:val="annotation subject"/>
    <w:basedOn w:val="1226"/>
    <w:next w:val="1226"/>
    <w:link w:val="1157"/>
    <w:uiPriority w:val="99"/>
    <w:semiHidden/>
    <w:unhideWhenUsed/>
    <w:qFormat/>
    <w:pPr>
      <w:pBdr/>
      <w:spacing w:after="120" w:before="120"/>
      <w:ind/>
      <w:jc w:val="both"/>
    </w:pPr>
    <w:rPr>
      <w:rFonts w:ascii="Arial" w:hAnsi="Arial" w:eastAsia="Times New Roman" w:cs="Arial" w:cstheme="minorBidi"/>
      <w:b/>
      <w:bCs/>
    </w:rPr>
  </w:style>
  <w:style w:type="paragraph" w:styleId="1238" w:customStyle="1">
    <w:name w:val="Nível 3"/>
    <w:basedOn w:val="1233"/>
    <w:link w:val="1158"/>
    <w:qFormat/>
    <w:pPr>
      <w:numPr>
        <w:ilvl w:val="2"/>
        <w:numId w:val="10"/>
      </w:numPr>
      <w:pBdr/>
      <w:spacing/>
      <w:ind w:firstLine="0" w:left="284"/>
    </w:pPr>
    <w:rPr>
      <w:rFonts w:eastAsia="Times New Roman"/>
      <w:i w:val="0"/>
      <w:iCs w:val="0"/>
    </w:rPr>
  </w:style>
  <w:style w:type="paragraph" w:styleId="1239" w:customStyle="1">
    <w:name w:val="Nível 4"/>
    <w:basedOn w:val="1238"/>
    <w:link w:val="1159"/>
    <w:qFormat/>
    <w:pPr>
      <w:numPr>
        <w:ilvl w:val="0"/>
        <w:numId w:val="0"/>
      </w:numPr>
      <w:pBdr/>
      <w:spacing/>
      <w:ind w:firstLine="0" w:left="567"/>
    </w:pPr>
  </w:style>
  <w:style w:type="paragraph" w:styleId="1240" w:customStyle="1">
    <w:name w:val="SubTitNN"/>
    <w:basedOn w:val="1056"/>
    <w:link w:val="1160"/>
    <w:qFormat/>
    <w:pPr>
      <w:pBdr/>
      <w:spacing w:after="120" w:before="240" w:line="276" w:lineRule="auto"/>
      <w:ind/>
    </w:pPr>
    <w:rPr>
      <w:b/>
      <w:bCs/>
      <w:iCs/>
      <w:sz w:val="20"/>
      <w:szCs w:val="20"/>
    </w:rPr>
  </w:style>
  <w:style w:type="paragraph" w:styleId="1241" w:customStyle="1">
    <w:name w:val="Conteúdo da tabela (user)"/>
    <w:basedOn w:val="1056"/>
    <w:qFormat/>
    <w:pPr>
      <w:widowControl w:val="false"/>
      <w:suppressLineNumbers w:val="true"/>
      <w:pBdr/>
      <w:spacing/>
      <w:ind/>
    </w:pPr>
  </w:style>
  <w:style w:type="paragraph" w:styleId="1242" w:customStyle="1">
    <w:name w:val="Título de tabela (user)"/>
    <w:basedOn w:val="1241"/>
    <w:qFormat/>
    <w:pPr>
      <w:pBdr/>
      <w:spacing/>
      <w:ind/>
      <w:jc w:val="center"/>
    </w:pPr>
    <w:rPr>
      <w:b/>
      <w:bCs/>
    </w:rPr>
  </w:style>
  <w:style w:type="paragraph" w:styleId="1243" w:customStyle="1">
    <w:name w:val="caption111111111"/>
    <w:basedOn w:val="1056"/>
    <w:qFormat/>
    <w:pPr>
      <w:suppressLineNumbers w:val="true"/>
      <w:pBdr/>
      <w:spacing/>
      <w:ind/>
    </w:pPr>
    <w:rPr>
      <w:i/>
      <w:iCs/>
      <w:sz w:val="24"/>
      <w:szCs w:val="24"/>
    </w:rPr>
  </w:style>
  <w:style w:type="paragraph" w:styleId="1244" w:customStyle="1">
    <w:name w:val="caption1111111111"/>
    <w:basedOn w:val="1056"/>
    <w:qFormat/>
    <w:pPr>
      <w:suppressLineNumbers w:val="true"/>
      <w:pBdr/>
      <w:spacing/>
      <w:ind/>
    </w:pPr>
    <w:rPr>
      <w:i/>
      <w:iCs/>
      <w:sz w:val="24"/>
      <w:szCs w:val="24"/>
    </w:rPr>
  </w:style>
  <w:style w:type="paragraph" w:styleId="1245" w:customStyle="1">
    <w:name w:val="caption11111111111"/>
    <w:basedOn w:val="1056"/>
    <w:next w:val="1056"/>
    <w:uiPriority w:val="35"/>
    <w:semiHidden/>
    <w:unhideWhenUsed/>
    <w:qFormat/>
    <w:pPr>
      <w:pBdr/>
      <w:spacing w:line="276" w:lineRule="auto"/>
      <w:ind/>
    </w:pPr>
    <w:rPr>
      <w:rFonts w:cs="Arial" w:cstheme="minorBidi"/>
      <w:b/>
      <w:bCs/>
      <w:color w:val="5b9bd5" w:themeColor="accent1"/>
    </w:rPr>
  </w:style>
  <w:style w:type="paragraph" w:styleId="1246" w:customStyle="1">
    <w:name w:val="index heading21"/>
    <w:basedOn w:val="1171"/>
    <w:qFormat/>
    <w:pPr>
      <w:pBdr/>
      <w:spacing/>
      <w:ind/>
    </w:pPr>
  </w:style>
  <w:style w:type="paragraph" w:styleId="1247" w:customStyle="1">
    <w:name w:val="index heading31"/>
    <w:basedOn w:val="1171"/>
    <w:qFormat/>
    <w:pPr>
      <w:pBdr/>
      <w:spacing/>
      <w:ind/>
    </w:pPr>
  </w:style>
  <w:style w:type="paragraph" w:styleId="1248" w:customStyle="1">
    <w:name w:val="index heading41"/>
    <w:basedOn w:val="1171"/>
    <w:qFormat/>
    <w:pPr>
      <w:pBdr/>
      <w:spacing/>
      <w:ind/>
    </w:pPr>
  </w:style>
  <w:style w:type="paragraph" w:styleId="1249" w:customStyle="1">
    <w:name w:val="normal1"/>
    <w:qFormat/>
    <w:pPr>
      <w:widowControl w:val="true"/>
      <w:pBdr/>
      <w:bidi w:val="false"/>
      <w:spacing w:after="200" w:before="100" w:line="276" w:lineRule="auto"/>
      <w:ind/>
      <w:jc w:val="left"/>
    </w:pPr>
    <w:rPr>
      <w:rFonts w:ascii="Times New Roman" w:hAnsi="Times New Roman" w:eastAsia="NSimSun" w:cs="Arial"/>
      <w:color w:val="auto"/>
      <w:sz w:val="24"/>
      <w:szCs w:val="24"/>
      <w:lang w:val="pt-BR" w:eastAsia="zh-CN" w:bidi="hi-IN"/>
    </w:rPr>
  </w:style>
  <w:style w:type="paragraph" w:styleId="1250">
    <w:name w:val="Normal (Web)"/>
    <w:basedOn w:val="1056"/>
    <w:uiPriority w:val="99"/>
    <w:unhideWhenUsed/>
    <w:qFormat/>
    <w:pPr>
      <w:pBdr/>
      <w:spacing w:afterAutospacing="1" w:beforeAutospacing="1"/>
      <w:ind/>
      <w:jc w:val="left"/>
    </w:pPr>
    <w:rPr>
      <w:rFonts w:ascii="Times New Roman" w:hAnsi="Times New Roman" w:cs="Times New Roman"/>
      <w:sz w:val="24"/>
      <w:szCs w:val="24"/>
    </w:rPr>
  </w:style>
  <w:style w:type="paragraph" w:styleId="1251">
    <w:name w:val="Conteúdo do quadro"/>
    <w:basedOn w:val="1056"/>
    <w:qFormat/>
    <w:pPr>
      <w:pBdr/>
      <w:spacing/>
      <w:ind/>
    </w:pPr>
  </w:style>
  <w:style w:type="numbering" w:styleId="1252">
    <w:name w:val="Sem lista"/>
    <w:uiPriority w:val="99"/>
    <w:semiHidden/>
    <w:unhideWhenUsed/>
    <w:qFormat/>
    <w:pPr>
      <w:pBdr/>
      <w:spacing/>
      <w:ind/>
    </w:pPr>
  </w:style>
  <w:style w:type="table" w:styleId="1253"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4" w:customStyle="1">
    <w:name w:val="Table Normal"/>
    <w:uiPriority w:val="2"/>
    <w:qFormat/>
    <w:pPr>
      <w:pBdr/>
      <w:spacing/>
      <w:ind/>
    </w:pPr>
    <w:tblPr>
      <w:tblCellMar>
        <w:left w:w="0" w:type="dxa"/>
        <w:top w:w="0" w:type="dxa"/>
        <w:right w:w="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5" w:customStyle="1">
    <w:name w:val="Table Grid Light"/>
    <w:basedOn w:val="1253"/>
    <w:uiPriority w:val="59"/>
    <w:pPr>
      <w:pBdr/>
      <w:spacing/>
      <w:ind/>
    </w:pPr>
    <w:tblPr>
      <w:tblCellMar>
        <w:left w:w="108" w:type="dxa"/>
        <w:top w:w="0" w:type="dxa"/>
        <w:right w:w="108" w:type="dxa"/>
        <w:bottom w:w="0" w:type="dxa"/>
      </w:tblCellMa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6">
    <w:name w:val="Plain Table 1"/>
    <w:basedOn w:val="1253"/>
    <w:uiPriority w:val="59"/>
    <w:pPr>
      <w:pBdr/>
      <w:spacing/>
      <w:ind/>
    </w:pPr>
    <w:tblPr>
      <w:tblCellMar>
        <w:left w:w="108" w:type="dxa"/>
        <w:top w:w="0" w:type="dxa"/>
        <w:right w:w="108" w:type="dxa"/>
        <w:bottom w:w="0" w:type="dxa"/>
      </w:tblCellMa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fill="f2f2f2" w:themeFill="text1" w:themeFillTint="00"/>
        <w:tcBorders/>
      </w:tcPr>
    </w:tblStylePr>
    <w:tblStylePr w:type="band1Vert">
      <w:pPr>
        <w:pBdr/>
        <w:spacing/>
        <w:ind/>
      </w:pPr>
      <w:tblPr>
        <w:tblBorders/>
      </w:tblPr>
      <w:tcPr>
        <w:shd w:val="clear" w:color="f2f2f2"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7">
    <w:name w:val="Plain Table 2"/>
    <w:basedOn w:val="1253"/>
    <w:uiPriority w:val="59"/>
    <w:pPr>
      <w:pBdr/>
      <w:spacing/>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8">
    <w:name w:val="Plain Table 3"/>
    <w:basedOn w:val="125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shd w:val="clear" w:color="f2f2f2" w:fill="f2f2f2" w:themeFill="text1" w:themeFillTint="00"/>
        <w:tcBorders/>
      </w:tcPr>
    </w:tblStylePr>
    <w:tblStylePr w:type="band1Vert">
      <w:rPr>
        <w:sz w:val="22"/>
      </w:rPr>
      <w:pPr>
        <w:pBdr/>
        <w:spacing/>
        <w:ind/>
      </w:pPr>
      <w:tblPr>
        <w:tblBorders/>
      </w:tblPr>
      <w:tcPr>
        <w:shd w:val="clear" w:color="f2f2f2"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9">
    <w:name w:val="Plain Table 4"/>
    <w:basedOn w:val="125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shd w:val="clear" w:color="f2f2f2" w:fill="f2f2f2" w:themeFill="text1" w:themeFillTint="00"/>
        <w:tcBorders/>
      </w:tcPr>
    </w:tblStylePr>
    <w:tblStylePr w:type="band1Vert">
      <w:rPr>
        <w:sz w:val="22"/>
      </w:rPr>
      <w:pPr>
        <w:pBdr/>
        <w:spacing/>
        <w:ind/>
      </w:pPr>
      <w:tblPr>
        <w:tblBorders/>
      </w:tblPr>
      <w:tcPr>
        <w:shd w:val="clear" w:color="f2f2f2"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0">
    <w:name w:val="Plain Table 5"/>
    <w:basedOn w:val="125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shd w:val="clear" w:color="f2f2f2" w:fill="f2f2f2" w:themeFill="text1" w:themeFillTint="00"/>
        <w:tcBorders/>
      </w:tcPr>
    </w:tblStylePr>
    <w:tblStylePr w:type="band1Vert">
      <w:rPr>
        <w:sz w:val="22"/>
      </w:rPr>
      <w:pPr>
        <w:pBdr/>
        <w:spacing/>
        <w:ind/>
      </w:pPr>
      <w:tblPr>
        <w:tblBorders/>
      </w:tblPr>
      <w:tcPr>
        <w:shd w:val="clear" w:color="f2f2f2"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right w:val="single" w:color="404040" w:sz="4" w:space="0"/>
        </w:tcBorders>
      </w:tcPr>
    </w:tblStylePr>
    <w:tblStylePr w:type="firstRow">
      <w:rPr>
        <w:i/>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fill="auto"/>
        <w:tcBorders>
          <w:left w:val="single" w:color="404040" w:sz="4" w:space="0"/>
        </w:tcBorders>
      </w:tcPr>
    </w:tblStylePr>
    <w:tblStylePr w:type="lastRow">
      <w:rPr>
        <w:i/>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1">
    <w:name w:val="Grid Table 1 Light"/>
    <w:basedOn w:val="1253"/>
    <w:uiPriority w:val="99"/>
    <w:pPr>
      <w:pBdr/>
      <w:spacing/>
      <w:ind/>
    </w:pPr>
    <w:tblPr>
      <w:tblStyleRowBandSize w:val="1"/>
      <w:tblStyleColBandSize w:val="1"/>
      <w:tblCellMar>
        <w:left w:w="108" w:type="dxa"/>
        <w:top w:w="0" w:type="dxa"/>
        <w:right w:w="108" w:type="dxa"/>
        <w:bottom w:w="0" w:type="dxa"/>
      </w:tblCellMar>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2" w:customStyle="1">
    <w:name w:val="Grid Table 1 Light - Accent 1"/>
    <w:basedOn w:val="1253"/>
    <w:uiPriority w:val="99"/>
    <w:pPr>
      <w:pBdr/>
      <w:spacing/>
      <w:ind/>
    </w:pPr>
    <w:tblPr>
      <w:tblStyleRowBandSize w:val="1"/>
      <w:tblStyleColBandSize w:val="1"/>
      <w:tblCellMar>
        <w:left w:w="108" w:type="dxa"/>
        <w:top w:w="0" w:type="dxa"/>
        <w:right w:w="108" w:type="dxa"/>
        <w:bottom w:w="0" w:type="dxa"/>
      </w:tblCellMa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sz w:val="22"/>
      </w:rPr>
      <w:pPr>
        <w:pBdr/>
        <w:spacing/>
        <w:ind/>
      </w:pPr>
      <w:tblPr>
        <w:tblBorders/>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5b9bd5"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3" w:customStyle="1">
    <w:name w:val="Grid Table 1 Light - Accent 2"/>
    <w:basedOn w:val="1253"/>
    <w:uiPriority w:val="99"/>
    <w:pPr>
      <w:pBdr/>
      <w:spacing/>
      <w:ind/>
    </w:pPr>
    <w:tblPr>
      <w:tblStyleRowBandSize w:val="1"/>
      <w:tblStyleColBandSize w:val="1"/>
      <w:tblCellMar>
        <w:left w:w="108" w:type="dxa"/>
        <w:top w:w="0" w:type="dxa"/>
        <w:right w:w="108" w:type="dxa"/>
        <w:bottom w:w="0" w:type="dxa"/>
      </w:tblCellMa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sz w:val="22"/>
      </w:rPr>
      <w:pPr>
        <w:pBdr/>
        <w:spacing/>
        <w:ind/>
      </w:pPr>
      <w:tblPr>
        <w:tblBorders/>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ed7d31"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4" w:customStyle="1">
    <w:name w:val="Grid Table 1 Light - Accent 3"/>
    <w:basedOn w:val="1253"/>
    <w:uiPriority w:val="99"/>
    <w:pPr>
      <w:pBdr/>
      <w:spacing/>
      <w:ind/>
    </w:pPr>
    <w:tblPr>
      <w:tblStyleRowBandSize w:val="1"/>
      <w:tblStyleColBandSize w:val="1"/>
      <w:tblCellMar>
        <w:left w:w="108" w:type="dxa"/>
        <w:top w:w="0" w:type="dxa"/>
        <w:right w:w="108" w:type="dxa"/>
        <w:bottom w:w="0" w:type="dxa"/>
      </w:tblCellMa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sz w:val="22"/>
      </w:rPr>
      <w:pPr>
        <w:pBdr/>
        <w:spacing/>
        <w:ind/>
      </w:pPr>
      <w:tblPr>
        <w:tblBorders/>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a5a5a5"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5" w:customStyle="1">
    <w:name w:val="Grid Table 1 Light - Accent 4"/>
    <w:basedOn w:val="1253"/>
    <w:uiPriority w:val="99"/>
    <w:pPr>
      <w:pBdr/>
      <w:spacing/>
      <w:ind/>
    </w:pPr>
    <w:tblPr>
      <w:tblStyleRowBandSize w:val="1"/>
      <w:tblStyleColBandSize w:val="1"/>
      <w:tblCellMar>
        <w:left w:w="108" w:type="dxa"/>
        <w:top w:w="0" w:type="dxa"/>
        <w:right w:w="108" w:type="dxa"/>
        <w:bottom w:w="0" w:type="dxa"/>
      </w:tblCellMar>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sz w:val="22"/>
      </w:rPr>
      <w:pPr>
        <w:pBdr/>
        <w:spacing/>
        <w:ind/>
      </w:pPr>
      <w:tblPr>
        <w:tblBorders/>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fc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6" w:customStyle="1">
    <w:name w:val="Grid Table 1 Light - Accent 5"/>
    <w:basedOn w:val="1253"/>
    <w:uiPriority w:val="99"/>
    <w:pPr>
      <w:pBdr/>
      <w:spacing/>
      <w:ind/>
    </w:pPr>
    <w:tblPr>
      <w:tblStyleRowBandSize w:val="1"/>
      <w:tblStyleColBandSize w:val="1"/>
      <w:tblCellMar>
        <w:left w:w="108" w:type="dxa"/>
        <w:top w:w="0" w:type="dxa"/>
        <w:right w:w="108" w:type="dxa"/>
        <w:bottom w:w="0" w:type="dxa"/>
      </w:tblCellMar>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sz w:val="22"/>
      </w:rPr>
      <w:pPr>
        <w:pBdr/>
        <w:spacing/>
        <w:ind/>
      </w:pPr>
      <w:tblPr>
        <w:tblBorders/>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4472c4"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7" w:customStyle="1">
    <w:name w:val="Grid Table 1 Light - Accent 6"/>
    <w:basedOn w:val="1253"/>
    <w:uiPriority w:val="99"/>
    <w:pPr>
      <w:pBdr/>
      <w:spacing/>
      <w:ind/>
    </w:pPr>
    <w:tblPr>
      <w:tblStyleRowBandSize w:val="1"/>
      <w:tblStyleColBandSize w:val="1"/>
      <w:tblCellMar>
        <w:left w:w="108" w:type="dxa"/>
        <w:top w:w="0" w:type="dxa"/>
        <w:right w:w="108" w:type="dxa"/>
        <w:bottom w:w="0" w:type="dxa"/>
      </w:tblCellMa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sz w:val="22"/>
      </w:rPr>
      <w:pPr>
        <w:pBdr/>
        <w:spacing/>
        <w:ind/>
      </w:pPr>
      <w:tblPr>
        <w:tblBorders/>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70ad47"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8">
    <w:name w:val="Grid Table 2"/>
    <w:basedOn w:val="1253"/>
    <w:uiPriority w:val="99"/>
    <w:pPr>
      <w:pBdr/>
      <w:spacing/>
      <w:ind/>
    </w:pPr>
    <w:tblPr>
      <w:tblStyleRowBandSize w:val="1"/>
      <w:tblStyleColBandSize w:val="1"/>
      <w:tblCellMar>
        <w:left w:w="108" w:type="dxa"/>
        <w:top w:w="0" w:type="dxa"/>
        <w:right w:w="108" w:type="dxa"/>
        <w:bottom w:w="0" w:type="dxa"/>
      </w:tblCellMar>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sz w:val="22"/>
      </w:rPr>
      <w:pPr>
        <w:pBdr/>
        <w:spacing/>
        <w:ind/>
      </w:pPr>
      <w:tblPr>
        <w:tblBorders/>
      </w:tblPr>
      <w:tcPr>
        <w:shd w:val="clear" w:color="cbcbcb" w:fill="cbcbcb" w:themeFill="text1" w:themeFillTint="34"/>
        <w:tcBorders/>
      </w:tcPr>
    </w:tblStylePr>
    <w:tblStylePr w:type="band1Vert">
      <w:rPr>
        <w:sz w:val="22"/>
      </w:rPr>
      <w:pPr>
        <w:pBdr/>
        <w:spacing/>
        <w:ind/>
      </w:pPr>
      <w:tblPr>
        <w:tblBorders/>
      </w:tblPr>
      <w:tcPr>
        <w:shd w:val="clear" w:color="cbcbcb"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9" w:customStyle="1">
    <w:name w:val="Grid Table 2 - Accent 1"/>
    <w:basedOn w:val="1253"/>
    <w:uiPriority w:val="99"/>
    <w:pPr>
      <w:pBdr/>
      <w:spacing/>
      <w:ind/>
    </w:pPr>
    <w:tblPr>
      <w:tblStyleRowBandSize w:val="1"/>
      <w:tblStyleColBandSize w:val="1"/>
      <w:tblCellMar>
        <w:left w:w="108" w:type="dxa"/>
        <w:top w:w="0" w:type="dxa"/>
        <w:right w:w="108" w:type="dxa"/>
        <w:bottom w:w="0" w:type="dxa"/>
      </w:tblCellMar>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sz w:val="22"/>
      </w:rPr>
      <w:pPr>
        <w:pBdr/>
        <w:spacing/>
        <w:ind/>
      </w:pPr>
      <w:tblPr>
        <w:tblBorders/>
      </w:tblPr>
      <w:tcPr>
        <w:shd w:val="clear" w:color="ddeaf6" w:fill="ddeaf6" w:themeFill="accent1" w:themeFillTint="34"/>
        <w:tcBorders/>
      </w:tcPr>
    </w:tblStylePr>
    <w:tblStylePr w:type="band1Vert">
      <w:rPr>
        <w:sz w:val="22"/>
      </w:rPr>
      <w:pPr>
        <w:pBdr/>
        <w:spacing/>
        <w:ind/>
      </w:pPr>
      <w:tblPr>
        <w:tblBorders/>
      </w:tblPr>
      <w:tcPr>
        <w:shd w:val="clear" w:color="ddeaf6"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5b9bd5"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0" w:customStyle="1">
    <w:name w:val="Grid Table 2 - Accent 2"/>
    <w:basedOn w:val="1253"/>
    <w:uiPriority w:val="99"/>
    <w:pPr>
      <w:pBdr/>
      <w:spacing/>
      <w:ind/>
    </w:pPr>
    <w:tblPr>
      <w:tblStyleRowBandSize w:val="1"/>
      <w:tblStyleColBandSize w:val="1"/>
      <w:tblCellMar>
        <w:left w:w="108" w:type="dxa"/>
        <w:top w:w="0" w:type="dxa"/>
        <w:right w:w="108" w:type="dxa"/>
        <w:bottom w:w="0" w:type="dxa"/>
      </w:tblCellMar>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sz w:val="22"/>
      </w:rPr>
      <w:pPr>
        <w:pBdr/>
        <w:spacing/>
        <w:ind/>
      </w:pPr>
      <w:tblPr>
        <w:tblBorders/>
      </w:tblPr>
      <w:tcPr>
        <w:shd w:val="clear" w:color="fbe5d6" w:fill="fbe5d6" w:themeFill="accent2" w:themeFillTint="32"/>
        <w:tcBorders/>
      </w:tcPr>
    </w:tblStylePr>
    <w:tblStylePr w:type="band1Vert">
      <w:rPr>
        <w:sz w:val="22"/>
      </w:rPr>
      <w:pPr>
        <w:pBdr/>
        <w:spacing/>
        <w:ind/>
      </w:pPr>
      <w:tblPr>
        <w:tblBorders/>
      </w:tblPr>
      <w:tcPr>
        <w:shd w:val="clear" w:color="fbe5d6"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ed7d31"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1" w:customStyle="1">
    <w:name w:val="Grid Table 2 - Accent 3"/>
    <w:basedOn w:val="1253"/>
    <w:uiPriority w:val="99"/>
    <w:pPr>
      <w:pBdr/>
      <w:spacing/>
      <w:ind/>
    </w:pPr>
    <w:tblPr>
      <w:tblStyleRowBandSize w:val="1"/>
      <w:tblStyleColBandSize w:val="1"/>
      <w:tblCellMar>
        <w:left w:w="108" w:type="dxa"/>
        <w:top w:w="0" w:type="dxa"/>
        <w:right w:w="108" w:type="dxa"/>
        <w:bottom w:w="0" w:type="dxa"/>
      </w:tblCellMar>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sz w:val="22"/>
      </w:rPr>
      <w:pPr>
        <w:pBdr/>
        <w:spacing/>
        <w:ind/>
      </w:pPr>
      <w:tblPr>
        <w:tblBorders/>
      </w:tblPr>
      <w:tcPr>
        <w:shd w:val="clear" w:color="ececec" w:fill="ececec" w:themeFill="accent3" w:themeFillTint="34"/>
        <w:tcBorders/>
      </w:tcPr>
    </w:tblStylePr>
    <w:tblStylePr w:type="band1Vert">
      <w:rPr>
        <w:sz w:val="22"/>
      </w:rPr>
      <w:pPr>
        <w:pBdr/>
        <w:spacing/>
        <w:ind/>
      </w:pPr>
      <w:tblPr>
        <w:tblBorders/>
      </w:tblPr>
      <w:tcPr>
        <w:shd w:val="clear" w:color="ececec"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a5a5a5"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2" w:customStyle="1">
    <w:name w:val="Grid Table 2 - Accent 4"/>
    <w:basedOn w:val="1253"/>
    <w:uiPriority w:val="99"/>
    <w:pPr>
      <w:pBdr/>
      <w:spacing/>
      <w:ind/>
    </w:pPr>
    <w:tblPr>
      <w:tblStyleRowBandSize w:val="1"/>
      <w:tblStyleColBandSize w:val="1"/>
      <w:tblCellMar>
        <w:left w:w="108" w:type="dxa"/>
        <w:top w:w="0" w:type="dxa"/>
        <w:right w:w="108" w:type="dxa"/>
        <w:bottom w:w="0" w:type="dxa"/>
      </w:tblCellMar>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sz w:val="22"/>
      </w:rPr>
      <w:pPr>
        <w:pBdr/>
        <w:spacing/>
        <w:ind/>
      </w:pPr>
      <w:tblPr>
        <w:tblBorders/>
      </w:tblPr>
      <w:tcPr>
        <w:shd w:val="clear" w:color="fff2cb" w:fill="fff2cb" w:themeFill="accent4" w:themeFillTint="34"/>
        <w:tcBorders/>
      </w:tcPr>
    </w:tblStylePr>
    <w:tblStylePr w:type="band1Vert">
      <w:rPr>
        <w:sz w:val="22"/>
      </w:rPr>
      <w:pPr>
        <w:pBdr/>
        <w:spacing/>
        <w:ind/>
      </w:pPr>
      <w:tblPr>
        <w:tblBorders/>
      </w:tblPr>
      <w:tcPr>
        <w:shd w:val="clear" w:color="fff2cb"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ffc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3" w:customStyle="1">
    <w:name w:val="Grid Table 2 - Accent 5"/>
    <w:basedOn w:val="1253"/>
    <w:uiPriority w:val="99"/>
    <w:pPr>
      <w:pBdr/>
      <w:spacing/>
      <w:ind/>
    </w:pPr>
    <w:tblPr>
      <w:tblStyleRowBandSize w:val="1"/>
      <w:tblStyleColBandSize w:val="1"/>
      <w:tblCellMar>
        <w:left w:w="108" w:type="dxa"/>
        <w:top w:w="0" w:type="dxa"/>
        <w:right w:w="108" w:type="dxa"/>
        <w:bottom w:w="0" w:type="dxa"/>
      </w:tblCellMar>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sz w:val="22"/>
      </w:rPr>
      <w:pPr>
        <w:pBdr/>
        <w:spacing/>
        <w:ind/>
      </w:pPr>
      <w:tblPr>
        <w:tblBorders/>
      </w:tblPr>
      <w:tcPr>
        <w:shd w:val="clear" w:color="d8e2f3" w:fill="d8e2f3" w:themeFill="accent5" w:themeFillTint="34"/>
        <w:tcBorders/>
      </w:tcPr>
    </w:tblStylePr>
    <w:tblStylePr w:type="band1Vert">
      <w:rPr>
        <w:sz w:val="22"/>
      </w:rPr>
      <w:pPr>
        <w:pBdr/>
        <w:spacing/>
        <w:ind/>
      </w:pPr>
      <w:tblPr>
        <w:tblBorders/>
      </w:tblPr>
      <w:tcPr>
        <w:shd w:val="clear" w:color="d8e2f3"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4" w:customStyle="1">
    <w:name w:val="Grid Table 2 - Accent 6"/>
    <w:basedOn w:val="1253"/>
    <w:uiPriority w:val="99"/>
    <w:pPr>
      <w:pBdr/>
      <w:spacing/>
      <w:ind/>
    </w:pPr>
    <w:tblPr>
      <w:tblStyleRowBandSize w:val="1"/>
      <w:tblStyleColBandSize w:val="1"/>
      <w:tblCellMar>
        <w:left w:w="108" w:type="dxa"/>
        <w:top w:w="0" w:type="dxa"/>
        <w:right w:w="108" w:type="dxa"/>
        <w:bottom w:w="0" w:type="dxa"/>
      </w:tblCellMar>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sz w:val="22"/>
      </w:rPr>
      <w:pPr>
        <w:pBdr/>
        <w:spacing/>
        <w:ind/>
      </w:pPr>
      <w:tblPr>
        <w:tblBorders/>
      </w:tblPr>
      <w:tcPr>
        <w:shd w:val="clear" w:color="e1efd8" w:fill="e1efd8" w:themeFill="accent6" w:themeFillTint="34"/>
        <w:tcBorders/>
      </w:tcPr>
    </w:tblStylePr>
    <w:tblStylePr w:type="band1Vert">
      <w:rPr>
        <w:sz w:val="22"/>
      </w:rPr>
      <w:pPr>
        <w:pBdr/>
        <w:spacing/>
        <w:ind/>
      </w:pPr>
      <w:tblPr>
        <w:tblBorders/>
      </w:tblPr>
      <w:tcPr>
        <w:shd w:val="clear" w:color="e1efd8"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5">
    <w:name w:val="Grid Table 3"/>
    <w:basedOn w:val="1253"/>
    <w:uiPriority w:val="99"/>
    <w:pPr>
      <w:pBdr/>
      <w:spacing/>
      <w:ind/>
    </w:pPr>
    <w:tblPr>
      <w:tblStyleRowBandSize w:val="1"/>
      <w:tblStyleColBandSize w:val="1"/>
      <w:tblCellMar>
        <w:left w:w="108" w:type="dxa"/>
        <w:top w:w="0" w:type="dxa"/>
        <w:right w:w="108" w:type="dxa"/>
        <w:bottom w:w="0" w:type="dxa"/>
      </w:tblCellMar>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sz w:val="22"/>
      </w:rPr>
      <w:pPr>
        <w:pBdr/>
        <w:spacing/>
        <w:ind/>
      </w:pPr>
      <w:tblPr>
        <w:tblBorders/>
      </w:tblPr>
      <w:tcPr>
        <w:shd w:val="clear" w:color="cbcbcb" w:fill="cbcbcb" w:themeFill="text1" w:themeFillTint="34"/>
        <w:tcBorders/>
      </w:tcPr>
    </w:tblStylePr>
    <w:tblStylePr w:type="band1Vert">
      <w:rPr>
        <w:sz w:val="22"/>
      </w:rPr>
      <w:pPr>
        <w:pBdr/>
        <w:spacing/>
        <w:ind/>
      </w:pPr>
      <w:tblPr>
        <w:tblBorders/>
      </w:tblPr>
      <w:tcPr>
        <w:shd w:val="clear" w:color="cbcbcb"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6" w:customStyle="1">
    <w:name w:val="Grid Table 3 - Accent 1"/>
    <w:basedOn w:val="1253"/>
    <w:uiPriority w:val="99"/>
    <w:pPr>
      <w:pBdr/>
      <w:spacing/>
      <w:ind/>
    </w:pPr>
    <w:tblPr>
      <w:tblStyleRowBandSize w:val="1"/>
      <w:tblStyleColBandSize w:val="1"/>
      <w:tblCellMar>
        <w:left w:w="108" w:type="dxa"/>
        <w:top w:w="0" w:type="dxa"/>
        <w:right w:w="108" w:type="dxa"/>
        <w:bottom w:w="0" w:type="dxa"/>
      </w:tblCellMar>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sz w:val="22"/>
      </w:rPr>
      <w:pPr>
        <w:pBdr/>
        <w:spacing/>
        <w:ind/>
      </w:pPr>
      <w:tblPr>
        <w:tblBorders/>
      </w:tblPr>
      <w:tcPr>
        <w:shd w:val="clear" w:color="ddeaf6" w:fill="ddeaf6" w:themeFill="accent1" w:themeFillTint="34"/>
        <w:tcBorders/>
      </w:tcPr>
    </w:tblStylePr>
    <w:tblStylePr w:type="band1Vert">
      <w:rPr>
        <w:sz w:val="22"/>
      </w:rPr>
      <w:pPr>
        <w:pBdr/>
        <w:spacing/>
        <w:ind/>
      </w:pPr>
      <w:tblPr>
        <w:tblBorders/>
      </w:tblPr>
      <w:tcPr>
        <w:shd w:val="clear" w:color="ddeaf6"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7" w:customStyle="1">
    <w:name w:val="Grid Table 3 - Accent 2"/>
    <w:basedOn w:val="1253"/>
    <w:uiPriority w:val="99"/>
    <w:pPr>
      <w:pBdr/>
      <w:spacing/>
      <w:ind/>
    </w:pPr>
    <w:tblPr>
      <w:tblStyleRowBandSize w:val="1"/>
      <w:tblStyleColBandSize w:val="1"/>
      <w:tblCellMar>
        <w:left w:w="108" w:type="dxa"/>
        <w:top w:w="0" w:type="dxa"/>
        <w:right w:w="108" w:type="dxa"/>
        <w:bottom w:w="0" w:type="dxa"/>
      </w:tblCellMar>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sz w:val="22"/>
      </w:rPr>
      <w:pPr>
        <w:pBdr/>
        <w:spacing/>
        <w:ind/>
      </w:pPr>
      <w:tblPr>
        <w:tblBorders/>
      </w:tblPr>
      <w:tcPr>
        <w:shd w:val="clear" w:color="fbe5d6" w:fill="fbe5d6" w:themeFill="accent2" w:themeFillTint="32"/>
        <w:tcBorders/>
      </w:tcPr>
    </w:tblStylePr>
    <w:tblStylePr w:type="band1Vert">
      <w:rPr>
        <w:sz w:val="22"/>
      </w:rPr>
      <w:pPr>
        <w:pBdr/>
        <w:spacing/>
        <w:ind/>
      </w:pPr>
      <w:tblPr>
        <w:tblBorders/>
      </w:tblPr>
      <w:tcPr>
        <w:shd w:val="clear" w:color="fbe5d6"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8" w:customStyle="1">
    <w:name w:val="Grid Table 3 - Accent 3"/>
    <w:basedOn w:val="1253"/>
    <w:uiPriority w:val="99"/>
    <w:pPr>
      <w:pBdr/>
      <w:spacing/>
      <w:ind/>
    </w:pPr>
    <w:tblPr>
      <w:tblStyleRowBandSize w:val="1"/>
      <w:tblStyleColBandSize w:val="1"/>
      <w:tblCellMar>
        <w:left w:w="108" w:type="dxa"/>
        <w:top w:w="0" w:type="dxa"/>
        <w:right w:w="108" w:type="dxa"/>
        <w:bottom w:w="0" w:type="dxa"/>
      </w:tblCellMar>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sz w:val="22"/>
      </w:rPr>
      <w:pPr>
        <w:pBdr/>
        <w:spacing/>
        <w:ind/>
      </w:pPr>
      <w:tblPr>
        <w:tblBorders/>
      </w:tblPr>
      <w:tcPr>
        <w:shd w:val="clear" w:color="ececec" w:fill="ececec" w:themeFill="accent3" w:themeFillTint="34"/>
        <w:tcBorders/>
      </w:tcPr>
    </w:tblStylePr>
    <w:tblStylePr w:type="band1Vert">
      <w:rPr>
        <w:sz w:val="22"/>
      </w:rPr>
      <w:pPr>
        <w:pBdr/>
        <w:spacing/>
        <w:ind/>
      </w:pPr>
      <w:tblPr>
        <w:tblBorders/>
      </w:tblPr>
      <w:tcPr>
        <w:shd w:val="clear" w:color="ececec"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9" w:customStyle="1">
    <w:name w:val="Grid Table 3 - Accent 4"/>
    <w:basedOn w:val="1253"/>
    <w:uiPriority w:val="99"/>
    <w:pPr>
      <w:pBdr/>
      <w:spacing/>
      <w:ind/>
    </w:pPr>
    <w:tblPr>
      <w:tblStyleRowBandSize w:val="1"/>
      <w:tblStyleColBandSize w:val="1"/>
      <w:tblCellMar>
        <w:left w:w="108" w:type="dxa"/>
        <w:top w:w="0" w:type="dxa"/>
        <w:right w:w="108" w:type="dxa"/>
        <w:bottom w:w="0" w:type="dxa"/>
      </w:tblCellMar>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sz w:val="22"/>
      </w:rPr>
      <w:pPr>
        <w:pBdr/>
        <w:spacing/>
        <w:ind/>
      </w:pPr>
      <w:tblPr>
        <w:tblBorders/>
      </w:tblPr>
      <w:tcPr>
        <w:shd w:val="clear" w:color="fff2cb" w:fill="fff2cb" w:themeFill="accent4" w:themeFillTint="34"/>
        <w:tcBorders/>
      </w:tcPr>
    </w:tblStylePr>
    <w:tblStylePr w:type="band1Vert">
      <w:rPr>
        <w:sz w:val="22"/>
      </w:rPr>
      <w:pPr>
        <w:pBdr/>
        <w:spacing/>
        <w:ind/>
      </w:pPr>
      <w:tblPr>
        <w:tblBorders/>
      </w:tblPr>
      <w:tcPr>
        <w:shd w:val="clear" w:color="fff2cb"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0" w:customStyle="1">
    <w:name w:val="Grid Table 3 - Accent 5"/>
    <w:basedOn w:val="1253"/>
    <w:uiPriority w:val="99"/>
    <w:pPr>
      <w:pBdr/>
      <w:spacing/>
      <w:ind/>
    </w:pPr>
    <w:tblPr>
      <w:tblStyleRowBandSize w:val="1"/>
      <w:tblStyleColBandSize w:val="1"/>
      <w:tblCellMar>
        <w:left w:w="108" w:type="dxa"/>
        <w:top w:w="0" w:type="dxa"/>
        <w:right w:w="108" w:type="dxa"/>
        <w:bottom w:w="0" w:type="dxa"/>
      </w:tblCellMar>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sz w:val="22"/>
      </w:rPr>
      <w:pPr>
        <w:pBdr/>
        <w:spacing/>
        <w:ind/>
      </w:pPr>
      <w:tblPr>
        <w:tblBorders/>
      </w:tblPr>
      <w:tcPr>
        <w:shd w:val="clear" w:color="d8e2f3" w:fill="d8e2f3" w:themeFill="accent5" w:themeFillTint="34"/>
        <w:tcBorders/>
      </w:tcPr>
    </w:tblStylePr>
    <w:tblStylePr w:type="band1Vert">
      <w:rPr>
        <w:sz w:val="22"/>
      </w:rPr>
      <w:pPr>
        <w:pBdr/>
        <w:spacing/>
        <w:ind/>
      </w:pPr>
      <w:tblPr>
        <w:tblBorders/>
      </w:tblPr>
      <w:tcPr>
        <w:shd w:val="clear" w:color="d8e2f3"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1" w:customStyle="1">
    <w:name w:val="Grid Table 3 - Accent 6"/>
    <w:basedOn w:val="1253"/>
    <w:uiPriority w:val="99"/>
    <w:pPr>
      <w:pBdr/>
      <w:spacing/>
      <w:ind/>
    </w:pPr>
    <w:tblPr>
      <w:tblStyleRowBandSize w:val="1"/>
      <w:tblStyleColBandSize w:val="1"/>
      <w:tblCellMar>
        <w:left w:w="108" w:type="dxa"/>
        <w:top w:w="0" w:type="dxa"/>
        <w:right w:w="108" w:type="dxa"/>
        <w:bottom w:w="0" w:type="dxa"/>
      </w:tblCellMar>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sz w:val="22"/>
      </w:rPr>
      <w:pPr>
        <w:pBdr/>
        <w:spacing/>
        <w:ind/>
      </w:pPr>
      <w:tblPr>
        <w:tblBorders/>
      </w:tblPr>
      <w:tcPr>
        <w:shd w:val="clear" w:color="e1efd8" w:fill="e1efd8" w:themeFill="accent6" w:themeFillTint="34"/>
        <w:tcBorders/>
      </w:tcPr>
    </w:tblStylePr>
    <w:tblStylePr w:type="band1Vert">
      <w:rPr>
        <w:sz w:val="22"/>
      </w:rPr>
      <w:pPr>
        <w:pBdr/>
        <w:spacing/>
        <w:ind/>
      </w:pPr>
      <w:tblPr>
        <w:tblBorders/>
      </w:tblPr>
      <w:tcPr>
        <w:shd w:val="clear" w:color="e1efd8"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2">
    <w:name w:val="Grid Table 4"/>
    <w:basedOn w:val="1253"/>
    <w:uiPriority w:val="59"/>
    <w:pPr>
      <w:pBdr/>
      <w:spacing/>
      <w:ind/>
    </w:pPr>
    <w:tblPr>
      <w:tblStyleRowBandSize w:val="1"/>
      <w:tblStyleColBandSize w:val="1"/>
      <w:tblCellMar>
        <w:left w:w="108" w:type="dxa"/>
        <w:top w:w="0" w:type="dxa"/>
        <w:right w:w="108" w:type="dxa"/>
        <w:bottom w:w="0" w:type="dxa"/>
      </w:tblCellMar>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sz w:val="22"/>
      </w:rPr>
      <w:pPr>
        <w:pBdr/>
        <w:spacing/>
        <w:ind/>
      </w:pPr>
      <w:tblPr>
        <w:tblBorders/>
      </w:tblPr>
      <w:tcPr>
        <w:shd w:val="clear" w:color="cbcbcb" w:fill="cbcbcb" w:themeFill="text1" w:themeFillTint="34"/>
        <w:tcBorders/>
      </w:tcPr>
    </w:tblStylePr>
    <w:tblStylePr w:type="band1Vert">
      <w:rPr>
        <w:sz w:val="22"/>
      </w:rPr>
      <w:pPr>
        <w:pBdr/>
        <w:spacing/>
        <w:ind/>
      </w:pPr>
      <w:tblPr>
        <w:tblBorders/>
      </w:tblPr>
      <w:tcPr>
        <w:shd w:val="clear" w:color="cbcbcb"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3" w:customStyle="1">
    <w:name w:val="Grid Table 4 - Accent 1"/>
    <w:basedOn w:val="1253"/>
    <w:uiPriority w:val="59"/>
    <w:pPr>
      <w:pBdr/>
      <w:spacing/>
      <w:ind/>
    </w:pPr>
    <w:tblPr>
      <w:tblStyleRowBandSize w:val="1"/>
      <w:tblStyleColBandSize w:val="1"/>
      <w:tblCellMar>
        <w:left w:w="108" w:type="dxa"/>
        <w:top w:w="0" w:type="dxa"/>
        <w:right w:w="108" w:type="dxa"/>
        <w:bottom w:w="0" w:type="dxa"/>
      </w:tblCellMa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sz w:val="22"/>
      </w:rPr>
      <w:pPr>
        <w:pBdr/>
        <w:spacing/>
        <w:ind/>
      </w:pPr>
      <w:tblPr>
        <w:tblBorders/>
      </w:tblPr>
      <w:tcPr>
        <w:shd w:val="clear" w:color="deebf6" w:fill="deebf6" w:themeFill="accent1" w:themeFillTint="32"/>
        <w:tcBorders/>
      </w:tcPr>
    </w:tblStylePr>
    <w:tblStylePr w:type="band1Vert">
      <w:rPr>
        <w:sz w:val="22"/>
      </w:rPr>
      <w:pPr>
        <w:pBdr/>
        <w:spacing/>
        <w:ind/>
      </w:pPr>
      <w:tblPr>
        <w:tblBorders/>
      </w:tblPr>
      <w:tcPr>
        <w:shd w:val="clear" w:color="deebf6"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68a2d8" w:fill="68a2d8" w:themeFill="accent1" w:themeFillTint="EA"/>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4" w:customStyle="1">
    <w:name w:val="Grid Table 4 - Accent 2"/>
    <w:basedOn w:val="1253"/>
    <w:uiPriority w:val="59"/>
    <w:pPr>
      <w:pBdr/>
      <w:spacing/>
      <w:ind/>
    </w:pPr>
    <w:tblPr>
      <w:tblStyleRowBandSize w:val="1"/>
      <w:tblStyleColBandSize w:val="1"/>
      <w:tblCellMar>
        <w:left w:w="108" w:type="dxa"/>
        <w:top w:w="0" w:type="dxa"/>
        <w:right w:w="108" w:type="dxa"/>
        <w:bottom w:w="0" w:type="dxa"/>
      </w:tblCellMa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sz w:val="22"/>
      </w:rPr>
      <w:pPr>
        <w:pBdr/>
        <w:spacing/>
        <w:ind/>
      </w:pPr>
      <w:tblPr>
        <w:tblBorders/>
      </w:tblPr>
      <w:tcPr>
        <w:shd w:val="clear" w:color="fbe5d6" w:fill="fbe5d6" w:themeFill="accent2" w:themeFillTint="32"/>
        <w:tcBorders/>
      </w:tcPr>
    </w:tblStylePr>
    <w:tblStylePr w:type="band1Vert">
      <w:rPr>
        <w:sz w:val="22"/>
      </w:rPr>
      <w:pPr>
        <w:pBdr/>
        <w:spacing/>
        <w:ind/>
      </w:pPr>
      <w:tblPr>
        <w:tblBorders/>
      </w:tblPr>
      <w:tcPr>
        <w:shd w:val="clear" w:color="fbe5d6"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4b184" w:fill="f4b184" w:themeFill="accent2" w:themeFillTint="97"/>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ed7d31"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5" w:customStyle="1">
    <w:name w:val="Grid Table 4 - Accent 3"/>
    <w:basedOn w:val="1253"/>
    <w:uiPriority w:val="59"/>
    <w:pPr>
      <w:pBdr/>
      <w:spacing/>
      <w:ind/>
    </w:pPr>
    <w:tblPr>
      <w:tblStyleRowBandSize w:val="1"/>
      <w:tblStyleColBandSize w:val="1"/>
      <w:tblCellMar>
        <w:left w:w="108" w:type="dxa"/>
        <w:top w:w="0" w:type="dxa"/>
        <w:right w:w="108" w:type="dxa"/>
        <w:bottom w:w="0" w:type="dxa"/>
      </w:tblCellMa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sz w:val="22"/>
      </w:rPr>
      <w:pPr>
        <w:pBdr/>
        <w:spacing/>
        <w:ind/>
      </w:pPr>
      <w:tblPr>
        <w:tblBorders/>
      </w:tblPr>
      <w:tcPr>
        <w:shd w:val="clear" w:color="ececec" w:fill="ececec" w:themeFill="accent3" w:themeFillTint="34"/>
        <w:tcBorders/>
      </w:tcPr>
    </w:tblStylePr>
    <w:tblStylePr w:type="band1Vert">
      <w:rPr>
        <w:sz w:val="22"/>
      </w:rPr>
      <w:pPr>
        <w:pBdr/>
        <w:spacing/>
        <w:ind/>
      </w:pPr>
      <w:tblPr>
        <w:tblBorders/>
      </w:tblPr>
      <w:tcPr>
        <w:shd w:val="clear" w:color="ececec"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a5a5a5" w:fill="a5a5a5" w:themeFill="accent3" w:themeFillTint="FE"/>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a5a5a5"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6" w:customStyle="1">
    <w:name w:val="Grid Table 4 - Accent 4"/>
    <w:basedOn w:val="1253"/>
    <w:uiPriority w:val="59"/>
    <w:pPr>
      <w:pBdr/>
      <w:spacing/>
      <w:ind/>
    </w:pPr>
    <w:tblPr>
      <w:tblStyleRowBandSize w:val="1"/>
      <w:tblStyleColBandSize w:val="1"/>
      <w:tblCellMar>
        <w:left w:w="108" w:type="dxa"/>
        <w:top w:w="0" w:type="dxa"/>
        <w:right w:w="108" w:type="dxa"/>
        <w:bottom w:w="0" w:type="dxa"/>
      </w:tblCellMar>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sz w:val="22"/>
      </w:rPr>
      <w:pPr>
        <w:pBdr/>
        <w:spacing/>
        <w:ind/>
      </w:pPr>
      <w:tblPr>
        <w:tblBorders/>
      </w:tblPr>
      <w:tcPr>
        <w:shd w:val="clear" w:color="fff2cb" w:fill="fff2cb" w:themeFill="accent4" w:themeFillTint="34"/>
        <w:tcBorders/>
      </w:tcPr>
    </w:tblStylePr>
    <w:tblStylePr w:type="band1Vert">
      <w:rPr>
        <w:sz w:val="22"/>
      </w:rPr>
      <w:pPr>
        <w:pBdr/>
        <w:spacing/>
        <w:ind/>
      </w:pPr>
      <w:tblPr>
        <w:tblBorders/>
      </w:tblPr>
      <w:tcPr>
        <w:shd w:val="clear" w:color="fff2cb"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d865" w:fill="ffd865" w:themeFill="accent4" w:themeFillTint="9A"/>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fc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7" w:customStyle="1">
    <w:name w:val="Grid Table 4 - Accent 5"/>
    <w:basedOn w:val="1253"/>
    <w:uiPriority w:val="59"/>
    <w:pPr>
      <w:pBdr/>
      <w:spacing/>
      <w:ind/>
    </w:pPr>
    <w:tblPr>
      <w:tblStyleRowBandSize w:val="1"/>
      <w:tblStyleColBandSize w:val="1"/>
      <w:tblCellMar>
        <w:left w:w="108" w:type="dxa"/>
        <w:top w:w="0" w:type="dxa"/>
        <w:right w:w="108" w:type="dxa"/>
        <w:bottom w:w="0" w:type="dxa"/>
      </w:tblCellMa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sz w:val="22"/>
      </w:rPr>
      <w:pPr>
        <w:pBdr/>
        <w:spacing/>
        <w:ind/>
      </w:pPr>
      <w:tblPr>
        <w:tblBorders/>
      </w:tblPr>
      <w:tcPr>
        <w:shd w:val="clear" w:color="d8e2f3" w:fill="d8e2f3" w:themeFill="accent5" w:themeFillTint="34"/>
        <w:tcBorders/>
      </w:tcPr>
    </w:tblStylePr>
    <w:tblStylePr w:type="band1Vert">
      <w:rPr>
        <w:sz w:val="22"/>
      </w:rPr>
      <w:pPr>
        <w:pBdr/>
        <w:spacing/>
        <w:ind/>
      </w:pPr>
      <w:tblPr>
        <w:tblBorders/>
      </w:tblPr>
      <w:tcPr>
        <w:shd w:val="clear" w:color="d8e2f3"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472c4"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8" w:customStyle="1">
    <w:name w:val="Grid Table 4 - Accent 6"/>
    <w:basedOn w:val="1253"/>
    <w:uiPriority w:val="59"/>
    <w:pPr>
      <w:pBdr/>
      <w:spacing/>
      <w:ind/>
    </w:pPr>
    <w:tblPr>
      <w:tblStyleRowBandSize w:val="1"/>
      <w:tblStyleColBandSize w:val="1"/>
      <w:tblCellMar>
        <w:left w:w="108" w:type="dxa"/>
        <w:top w:w="0" w:type="dxa"/>
        <w:right w:w="108" w:type="dxa"/>
        <w:bottom w:w="0" w:type="dxa"/>
      </w:tblCellMa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sz w:val="22"/>
      </w:rPr>
      <w:pPr>
        <w:pBdr/>
        <w:spacing/>
        <w:ind/>
      </w:pPr>
      <w:tblPr>
        <w:tblBorders/>
      </w:tblPr>
      <w:tcPr>
        <w:shd w:val="clear" w:color="e1efd8" w:fill="e1efd8" w:themeFill="accent6" w:themeFillTint="34"/>
        <w:tcBorders/>
      </w:tcPr>
    </w:tblStylePr>
    <w:tblStylePr w:type="band1Vert">
      <w:rPr>
        <w:sz w:val="22"/>
      </w:rPr>
      <w:pPr>
        <w:pBdr/>
        <w:spacing/>
        <w:ind/>
      </w:pPr>
      <w:tblPr>
        <w:tblBorders/>
      </w:tblPr>
      <w:tcPr>
        <w:shd w:val="clear" w:color="e1efd8"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70ad47"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9">
    <w:name w:val="Grid Table 5 Dark"/>
    <w:basedOn w:val="1253"/>
    <w:uiPriority w:val="99"/>
    <w:pPr>
      <w:pBdr/>
      <w:spacing/>
      <w:ind/>
    </w:pPr>
    <w:tblPr>
      <w:tblStyleRowBandSize w:val="1"/>
      <w:tblStyleColBandSize w:val="1"/>
      <w:tblCellMar>
        <w:left w:w="108" w:type="dxa"/>
        <w:top w:w="0" w:type="dxa"/>
        <w:right w:w="108" w:type="dxa"/>
        <w:bottom w:w="0" w:type="dxa"/>
      </w:tblCellMa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8a8a8a" w:fill="8a8a8a" w:themeFill="text1" w:themeFillTint="75"/>
        <w:tcBorders/>
      </w:tcPr>
    </w:tblStylePr>
    <w:tblStylePr w:type="band1Vert">
      <w:pPr>
        <w:pBdr/>
        <w:spacing/>
        <w:ind/>
      </w:pPr>
      <w:tblPr>
        <w:tblBorders/>
      </w:tblPr>
      <w:tcPr>
        <w:shd w:val="clear" w:color="8a8a8a"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000000" w:fill="000000" w:themeFill="text1"/>
        <w:tcBorders/>
      </w:tcPr>
    </w:tblStylePr>
    <w:tblStylePr w:type="firstRow">
      <w:rPr>
        <w:b/>
        <w:sz w:val="22"/>
      </w:rPr>
      <w:pPr>
        <w:pBdr/>
        <w:spacing/>
        <w:ind/>
      </w:pPr>
      <w:tblPr>
        <w:tblBorders/>
      </w:tblPr>
      <w:tcPr>
        <w:shd w:val="clear" w:color="000000" w:fill="000000" w:themeFill="text1"/>
        <w:tcBorders/>
      </w:tcPr>
    </w:tblStylePr>
    <w:tblStylePr w:type="lastCol">
      <w:rPr>
        <w:b/>
        <w:sz w:val="22"/>
      </w:rPr>
      <w:pPr>
        <w:pBdr/>
        <w:spacing/>
        <w:ind/>
      </w:pPr>
      <w:tblPr>
        <w:tblBorders/>
      </w:tblPr>
      <w:tcPr>
        <w:shd w:val="clear" w:color="000000" w:fill="000000" w:themeFill="text1"/>
        <w:tcBorders/>
      </w:tcPr>
    </w:tblStylePr>
    <w:tblStylePr w:type="lastRow">
      <w:rPr>
        <w:b/>
        <w:sz w:val="22"/>
      </w:rPr>
      <w:pPr>
        <w:pBdr/>
        <w:spacing/>
        <w:ind/>
      </w:pPr>
      <w:tblPr>
        <w:tblBorders/>
      </w:tblPr>
      <w:tcPr>
        <w:shd w:val="clear" w:color="000000"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0" w:customStyle="1">
    <w:name w:val="Grid Table 5 Dark- Accent 1"/>
    <w:basedOn w:val="1253"/>
    <w:uiPriority w:val="99"/>
    <w:pPr>
      <w:pBdr/>
      <w:spacing/>
      <w:ind/>
    </w:pPr>
    <w:tblPr>
      <w:tblStyleRowBandSize w:val="1"/>
      <w:tblStyleColBandSize w:val="1"/>
      <w:tblCellMar>
        <w:left w:w="108" w:type="dxa"/>
        <w:top w:w="0" w:type="dxa"/>
        <w:right w:w="108" w:type="dxa"/>
        <w:bottom w:w="0" w:type="dxa"/>
      </w:tblCellMa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b3d0eb" w:fill="b3d0eb" w:themeFill="accent1" w:themeFillTint="75"/>
        <w:tcBorders/>
      </w:tcPr>
    </w:tblStylePr>
    <w:tblStylePr w:type="band1Vert">
      <w:pPr>
        <w:pBdr/>
        <w:spacing/>
        <w:ind/>
      </w:pPr>
      <w:tblPr>
        <w:tblBorders/>
      </w:tblPr>
      <w:tcPr>
        <w:shd w:val="clear" w:color="b3d0eb"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5b9bd5" w:fill="5b9bd5" w:themeFill="accent1"/>
        <w:tcBorders/>
      </w:tcPr>
    </w:tblStylePr>
    <w:tblStylePr w:type="firstRow">
      <w:rPr>
        <w:b/>
        <w:sz w:val="22"/>
      </w:rPr>
      <w:pPr>
        <w:pBdr/>
        <w:spacing/>
        <w:ind/>
      </w:pPr>
      <w:tblPr>
        <w:tblBorders/>
      </w:tblPr>
      <w:tcPr>
        <w:shd w:val="clear" w:color="5b9bd5" w:fill="5b9bd5" w:themeFill="accent1"/>
        <w:tcBorders/>
      </w:tcPr>
    </w:tblStylePr>
    <w:tblStylePr w:type="lastCol">
      <w:rPr>
        <w:b/>
        <w:sz w:val="22"/>
      </w:rPr>
      <w:pPr>
        <w:pBdr/>
        <w:spacing/>
        <w:ind/>
      </w:pPr>
      <w:tblPr>
        <w:tblBorders/>
      </w:tblPr>
      <w:tcPr>
        <w:shd w:val="clear" w:color="5b9bd5" w:fill="5b9bd5" w:themeFill="accent1"/>
        <w:tcBorders/>
      </w:tcPr>
    </w:tblStylePr>
    <w:tblStylePr w:type="lastRow">
      <w:rPr>
        <w:b/>
        <w:sz w:val="22"/>
      </w:rPr>
      <w:pPr>
        <w:pBdr/>
        <w:spacing/>
        <w:ind/>
      </w:pPr>
      <w:tblPr>
        <w:tblBorders/>
      </w:tblPr>
      <w:tcPr>
        <w:shd w:val="clear" w:color="5b9bd5"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1" w:customStyle="1">
    <w:name w:val="Grid Table 5 Dark - Accent 2"/>
    <w:basedOn w:val="1253"/>
    <w:uiPriority w:val="99"/>
    <w:pPr>
      <w:pBdr/>
      <w:spacing/>
      <w:ind/>
    </w:pPr>
    <w:tblPr>
      <w:tblStyleRowBandSize w:val="1"/>
      <w:tblStyleColBandSize w:val="1"/>
      <w:tblCellMar>
        <w:left w:w="108" w:type="dxa"/>
        <w:top w:w="0" w:type="dxa"/>
        <w:right w:w="108" w:type="dxa"/>
        <w:bottom w:w="0" w:type="dxa"/>
      </w:tblCellMa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f6c3a0" w:fill="f6c3a0" w:themeFill="accent2" w:themeFillTint="75"/>
        <w:tcBorders/>
      </w:tcPr>
    </w:tblStylePr>
    <w:tblStylePr w:type="band1Vert">
      <w:pPr>
        <w:pBdr/>
        <w:spacing/>
        <w:ind/>
      </w:pPr>
      <w:tblPr>
        <w:tblBorders/>
      </w:tblPr>
      <w:tcPr>
        <w:shd w:val="clear" w:color="f6c3a0"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ed7d31" w:fill="ed7d31" w:themeFill="accent2"/>
        <w:tcBorders/>
      </w:tcPr>
    </w:tblStylePr>
    <w:tblStylePr w:type="firstRow">
      <w:rPr>
        <w:b/>
        <w:sz w:val="22"/>
      </w:rPr>
      <w:pPr>
        <w:pBdr/>
        <w:spacing/>
        <w:ind/>
      </w:pPr>
      <w:tblPr>
        <w:tblBorders/>
      </w:tblPr>
      <w:tcPr>
        <w:shd w:val="clear" w:color="ed7d31" w:fill="ed7d31" w:themeFill="accent2"/>
        <w:tcBorders/>
      </w:tcPr>
    </w:tblStylePr>
    <w:tblStylePr w:type="lastCol">
      <w:rPr>
        <w:b/>
        <w:sz w:val="22"/>
      </w:rPr>
      <w:pPr>
        <w:pBdr/>
        <w:spacing/>
        <w:ind/>
      </w:pPr>
      <w:tblPr>
        <w:tblBorders/>
      </w:tblPr>
      <w:tcPr>
        <w:shd w:val="clear" w:color="ed7d31" w:fill="ed7d31" w:themeFill="accent2"/>
        <w:tcBorders/>
      </w:tcPr>
    </w:tblStylePr>
    <w:tblStylePr w:type="lastRow">
      <w:rPr>
        <w:b/>
        <w:sz w:val="22"/>
      </w:rPr>
      <w:pPr>
        <w:pBdr/>
        <w:spacing/>
        <w:ind/>
      </w:pPr>
      <w:tblPr>
        <w:tblBorders/>
      </w:tblPr>
      <w:tcPr>
        <w:shd w:val="clear" w:color="ed7d31"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2" w:customStyle="1">
    <w:name w:val="Grid Table 5 Dark - Accent 3"/>
    <w:basedOn w:val="1253"/>
    <w:uiPriority w:val="99"/>
    <w:pPr>
      <w:pBdr/>
      <w:spacing/>
      <w:ind/>
    </w:pPr>
    <w:tblPr>
      <w:tblStyleRowBandSize w:val="1"/>
      <w:tblStyleColBandSize w:val="1"/>
      <w:tblCellMar>
        <w:left w:w="108" w:type="dxa"/>
        <w:top w:w="0" w:type="dxa"/>
        <w:right w:w="108" w:type="dxa"/>
        <w:bottom w:w="0" w:type="dxa"/>
      </w:tblCellMa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d5d5d5" w:fill="d5d5d5" w:themeFill="accent3" w:themeFillTint="75"/>
        <w:tcBorders/>
      </w:tcPr>
    </w:tblStylePr>
    <w:tblStylePr w:type="band1Vert">
      <w:pPr>
        <w:pBdr/>
        <w:spacing/>
        <w:ind/>
      </w:pPr>
      <w:tblPr>
        <w:tblBorders/>
      </w:tblPr>
      <w:tcPr>
        <w:shd w:val="clear" w:color="d5d5d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a5a5a5" w:fill="a5a5a5" w:themeFill="accent3"/>
        <w:tcBorders/>
      </w:tcPr>
    </w:tblStylePr>
    <w:tblStylePr w:type="firstRow">
      <w:rPr>
        <w:b/>
        <w:sz w:val="22"/>
      </w:rPr>
      <w:pPr>
        <w:pBdr/>
        <w:spacing/>
        <w:ind/>
      </w:pPr>
      <w:tblPr>
        <w:tblBorders/>
      </w:tblPr>
      <w:tcPr>
        <w:shd w:val="clear" w:color="a5a5a5" w:fill="a5a5a5" w:themeFill="accent3"/>
        <w:tcBorders/>
      </w:tcPr>
    </w:tblStylePr>
    <w:tblStylePr w:type="lastCol">
      <w:rPr>
        <w:b/>
        <w:sz w:val="22"/>
      </w:rPr>
      <w:pPr>
        <w:pBdr/>
        <w:spacing/>
        <w:ind/>
      </w:pPr>
      <w:tblPr>
        <w:tblBorders/>
      </w:tblPr>
      <w:tcPr>
        <w:shd w:val="clear" w:color="a5a5a5" w:fill="a5a5a5" w:themeFill="accent3"/>
        <w:tcBorders/>
      </w:tcPr>
    </w:tblStylePr>
    <w:tblStylePr w:type="lastRow">
      <w:rPr>
        <w:b/>
        <w:sz w:val="22"/>
      </w:rPr>
      <w:pPr>
        <w:pBdr/>
        <w:spacing/>
        <w:ind/>
      </w:pPr>
      <w:tblPr>
        <w:tblBorders/>
      </w:tblPr>
      <w:tcPr>
        <w:shd w:val="clear" w:color="a5a5a5"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3" w:customStyle="1">
    <w:name w:val="Grid Table 5 Dark- Accent 4"/>
    <w:basedOn w:val="1253"/>
    <w:uiPriority w:val="99"/>
    <w:pPr>
      <w:pBdr/>
      <w:spacing/>
      <w:ind/>
    </w:pPr>
    <w:tblPr>
      <w:tblStyleRowBandSize w:val="1"/>
      <w:tblStyleColBandSize w:val="1"/>
      <w:tblCellMar>
        <w:left w:w="108" w:type="dxa"/>
        <w:top w:w="0" w:type="dxa"/>
        <w:right w:w="108" w:type="dxa"/>
        <w:bottom w:w="0" w:type="dxa"/>
      </w:tblCellMa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ffe28a" w:fill="ffe28a" w:themeFill="accent4" w:themeFillTint="75"/>
        <w:tcBorders/>
      </w:tcPr>
    </w:tblStylePr>
    <w:tblStylePr w:type="band1Vert">
      <w:pPr>
        <w:pBdr/>
        <w:spacing/>
        <w:ind/>
      </w:pPr>
      <w:tblPr>
        <w:tblBorders/>
      </w:tblPr>
      <w:tcPr>
        <w:shd w:val="clear" w:color="ffe28a"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c000" w:fill="ffc000" w:themeFill="accent4"/>
        <w:tcBorders/>
      </w:tcPr>
    </w:tblStylePr>
    <w:tblStylePr w:type="firstRow">
      <w:rPr>
        <w:b/>
        <w:sz w:val="22"/>
      </w:rPr>
      <w:pPr>
        <w:pBdr/>
        <w:spacing/>
        <w:ind/>
      </w:pPr>
      <w:tblPr>
        <w:tblBorders/>
      </w:tblPr>
      <w:tcPr>
        <w:shd w:val="clear" w:color="ffc000" w:fill="ffc000" w:themeFill="accent4"/>
        <w:tcBorders/>
      </w:tcPr>
    </w:tblStylePr>
    <w:tblStylePr w:type="lastCol">
      <w:rPr>
        <w:b/>
        <w:sz w:val="22"/>
      </w:rPr>
      <w:pPr>
        <w:pBdr/>
        <w:spacing/>
        <w:ind/>
      </w:pPr>
      <w:tblPr>
        <w:tblBorders/>
      </w:tblPr>
      <w:tcPr>
        <w:shd w:val="clear" w:color="ffc000" w:fill="ffc000" w:themeFill="accent4"/>
        <w:tcBorders/>
      </w:tcPr>
    </w:tblStylePr>
    <w:tblStylePr w:type="lastRow">
      <w:rPr>
        <w:b/>
        <w:sz w:val="22"/>
      </w:rPr>
      <w:pPr>
        <w:pBdr/>
        <w:spacing/>
        <w:ind/>
      </w:pPr>
      <w:tblPr>
        <w:tblBorders/>
      </w:tblPr>
      <w:tcPr>
        <w:shd w:val="clear" w:color="ffc000"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4" w:customStyle="1">
    <w:name w:val="Grid Table 5 Dark - Accent 5"/>
    <w:basedOn w:val="1253"/>
    <w:uiPriority w:val="99"/>
    <w:pPr>
      <w:pBdr/>
      <w:spacing/>
      <w:ind/>
    </w:pPr>
    <w:tblPr>
      <w:tblStyleRowBandSize w:val="1"/>
      <w:tblStyleColBandSize w:val="1"/>
      <w:tblCellMar>
        <w:left w:w="108" w:type="dxa"/>
        <w:top w:w="0" w:type="dxa"/>
        <w:right w:w="108" w:type="dxa"/>
        <w:bottom w:w="0" w:type="dxa"/>
      </w:tblCellMa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a9bee4" w:fill="a9bee4" w:themeFill="accent5" w:themeFillTint="75"/>
        <w:tcBorders/>
      </w:tcPr>
    </w:tblStylePr>
    <w:tblStylePr w:type="band1Vert">
      <w:pPr>
        <w:pBdr/>
        <w:spacing/>
        <w:ind/>
      </w:pPr>
      <w:tblPr>
        <w:tblBorders/>
      </w:tblPr>
      <w:tcPr>
        <w:shd w:val="clear" w:color="a9bee4"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4472c4" w:fill="4472c4" w:themeFill="accent5"/>
        <w:tcBorders/>
      </w:tcPr>
    </w:tblStylePr>
    <w:tblStylePr w:type="firstRow">
      <w:rPr>
        <w:b/>
        <w:sz w:val="22"/>
      </w:rPr>
      <w:pPr>
        <w:pBdr/>
        <w:spacing/>
        <w:ind/>
      </w:pPr>
      <w:tblPr>
        <w:tblBorders/>
      </w:tblPr>
      <w:tcPr>
        <w:shd w:val="clear" w:color="4472c4" w:fill="4472c4" w:themeFill="accent5"/>
        <w:tcBorders/>
      </w:tcPr>
    </w:tblStylePr>
    <w:tblStylePr w:type="lastCol">
      <w:rPr>
        <w:b/>
        <w:sz w:val="22"/>
      </w:rPr>
      <w:pPr>
        <w:pBdr/>
        <w:spacing/>
        <w:ind/>
      </w:pPr>
      <w:tblPr>
        <w:tblBorders/>
      </w:tblPr>
      <w:tcPr>
        <w:shd w:val="clear" w:color="4472c4" w:fill="4472c4" w:themeFill="accent5"/>
        <w:tcBorders/>
      </w:tcPr>
    </w:tblStylePr>
    <w:tblStylePr w:type="lastRow">
      <w:rPr>
        <w:b/>
        <w:sz w:val="22"/>
      </w:rPr>
      <w:pPr>
        <w:pBdr/>
        <w:spacing/>
        <w:ind/>
      </w:pPr>
      <w:tblPr>
        <w:tblBorders/>
      </w:tblPr>
      <w:tcPr>
        <w:shd w:val="clear" w:color="4472c4"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5" w:customStyle="1">
    <w:name w:val="Grid Table 5 Dark - Accent 6"/>
    <w:basedOn w:val="1253"/>
    <w:uiPriority w:val="99"/>
    <w:pPr>
      <w:pBdr/>
      <w:spacing/>
      <w:ind/>
    </w:pPr>
    <w:tblPr>
      <w:tblStyleRowBandSize w:val="1"/>
      <w:tblStyleColBandSize w:val="1"/>
      <w:tblCellMar>
        <w:left w:w="108" w:type="dxa"/>
        <w:top w:w="0" w:type="dxa"/>
        <w:right w:w="108" w:type="dxa"/>
        <w:bottom w:w="0" w:type="dxa"/>
      </w:tblCellMa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bcdba8" w:fill="bcdba8" w:themeFill="accent6" w:themeFillTint="75"/>
        <w:tcBorders/>
      </w:tcPr>
    </w:tblStylePr>
    <w:tblStylePr w:type="band1Vert">
      <w:pPr>
        <w:pBdr/>
        <w:spacing/>
        <w:ind/>
      </w:pPr>
      <w:tblPr>
        <w:tblBorders/>
      </w:tblPr>
      <w:tcPr>
        <w:shd w:val="clear" w:color="bcdba8"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70ad47" w:fill="70ad47" w:themeFill="accent6"/>
        <w:tcBorders/>
      </w:tcPr>
    </w:tblStylePr>
    <w:tblStylePr w:type="firstRow">
      <w:rPr>
        <w:b/>
        <w:sz w:val="22"/>
      </w:rPr>
      <w:pPr>
        <w:pBdr/>
        <w:spacing/>
        <w:ind/>
      </w:pPr>
      <w:tblPr>
        <w:tblBorders/>
      </w:tblPr>
      <w:tcPr>
        <w:shd w:val="clear" w:color="70ad47" w:fill="70ad47" w:themeFill="accent6"/>
        <w:tcBorders/>
      </w:tcPr>
    </w:tblStylePr>
    <w:tblStylePr w:type="lastCol">
      <w:rPr>
        <w:b/>
        <w:sz w:val="22"/>
      </w:rPr>
      <w:pPr>
        <w:pBdr/>
        <w:spacing/>
        <w:ind/>
      </w:pPr>
      <w:tblPr>
        <w:tblBorders/>
      </w:tblPr>
      <w:tcPr>
        <w:shd w:val="clear" w:color="70ad47" w:fill="70ad47" w:themeFill="accent6"/>
        <w:tcBorders/>
      </w:tcPr>
    </w:tblStylePr>
    <w:tblStylePr w:type="lastRow">
      <w:rPr>
        <w:b/>
        <w:sz w:val="22"/>
      </w:rPr>
      <w:pPr>
        <w:pBdr/>
        <w:spacing/>
        <w:ind/>
      </w:pPr>
      <w:tblPr>
        <w:tblBorders/>
      </w:tblPr>
      <w:tcPr>
        <w:shd w:val="clear" w:color="70ad47"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6">
    <w:name w:val="Grid Table 6 Colorful"/>
    <w:basedOn w:val="1253"/>
    <w:uiPriority w:val="99"/>
    <w:pPr>
      <w:pBdr/>
      <w:spacing/>
      <w:ind/>
    </w:pPr>
    <w:tblPr>
      <w:tblStyleRowBandSize w:val="1"/>
      <w:tblStyleColBandSize w:val="1"/>
      <w:tblCellMar>
        <w:left w:w="108" w:type="dxa"/>
        <w:top w:w="0" w:type="dxa"/>
        <w:right w:w="108" w:type="dxa"/>
        <w:bottom w:w="0" w:type="dxa"/>
      </w:tblCellMa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color w:val="4a4a4a" w:themeColor="text1" w:themeTint="80" w:themeShade="95"/>
        <w:sz w:val="22"/>
      </w:rPr>
      <w:pPr>
        <w:pBdr/>
        <w:spacing/>
        <w:ind/>
      </w:pPr>
      <w:tblPr>
        <w:tblBorders/>
      </w:tblPr>
      <w:tcPr>
        <w:shd w:val="clear" w:color="cbcbcb" w:fill="cbcbcb" w:themeFill="text1" w:themeFillTint="34"/>
        <w:tcBorders/>
      </w:tcPr>
    </w:tblStylePr>
    <w:tblStylePr w:type="band1Vert">
      <w:pPr>
        <w:pBdr/>
        <w:spacing/>
        <w:ind/>
      </w:pPr>
      <w:tblPr>
        <w:tblBorders/>
      </w:tblPr>
      <w:tcPr>
        <w:shd w:val="clear" w:color="cbcbcb"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7" w:customStyle="1">
    <w:name w:val="Grid Table 6 Colorful - Accent 1"/>
    <w:basedOn w:val="1253"/>
    <w:uiPriority w:val="99"/>
    <w:pPr>
      <w:pBdr/>
      <w:spacing/>
      <w:ind/>
    </w:pPr>
    <w:tblPr>
      <w:tblStyleRowBandSize w:val="1"/>
      <w:tblStyleColBandSize w:val="1"/>
      <w:tblCellMar>
        <w:left w:w="108" w:type="dxa"/>
        <w:top w:w="0" w:type="dxa"/>
        <w:right w:w="108" w:type="dxa"/>
        <w:bottom w:w="0" w:type="dxa"/>
      </w:tblCellMar>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color w:val="307abd" w:themeColor="accent1" w:themeTint="80" w:themeShade="95"/>
        <w:sz w:val="22"/>
      </w:rPr>
      <w:pPr>
        <w:pBdr/>
        <w:spacing/>
        <w:ind/>
      </w:pPr>
      <w:tblPr>
        <w:tblBorders/>
      </w:tblPr>
      <w:tcPr>
        <w:shd w:val="clear" w:color="ddeaf6" w:fill="ddeaf6" w:themeFill="accent1" w:themeFillTint="34"/>
        <w:tcBorders/>
      </w:tcPr>
    </w:tblStylePr>
    <w:tblStylePr w:type="band1Vert">
      <w:pPr>
        <w:pBdr/>
        <w:spacing/>
        <w:ind/>
      </w:pPr>
      <w:tblPr>
        <w:tblBorders/>
      </w:tblPr>
      <w:tcPr>
        <w:shd w:val="clear" w:color="ddeaf6" w:fill="ddeaf6" w:themeFill="accent1" w:themeFillTint="34"/>
        <w:tcBorders/>
      </w:tcPr>
    </w:tblStylePr>
    <w:tblStylePr w:type="band2Horz">
      <w:rPr>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5b9bd5" w:themeColor="accent1"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8" w:customStyle="1">
    <w:name w:val="Grid Table 6 Colorful - Accent 2"/>
    <w:basedOn w:val="1253"/>
    <w:uiPriority w:val="99"/>
    <w:pPr>
      <w:pBdr/>
      <w:spacing/>
      <w:ind/>
    </w:pPr>
    <w:tblPr>
      <w:tblStyleRowBandSize w:val="1"/>
      <w:tblStyleColBandSize w:val="1"/>
      <w:tblCellMar>
        <w:left w:w="108" w:type="dxa"/>
        <w:top w:w="0" w:type="dxa"/>
        <w:right w:w="108" w:type="dxa"/>
        <w:bottom w:w="0" w:type="dxa"/>
      </w:tblCellMar>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color w:val="ca5d12" w:themeColor="accent2" w:themeTint="97" w:themeShade="95"/>
        <w:sz w:val="22"/>
      </w:rPr>
      <w:pPr>
        <w:pBdr/>
        <w:spacing/>
        <w:ind/>
      </w:pPr>
      <w:tblPr>
        <w:tblBorders/>
      </w:tblPr>
      <w:tcPr>
        <w:shd w:val="clear" w:color="fbe5d6" w:fill="fbe5d6" w:themeFill="accent2" w:themeFillTint="32"/>
        <w:tcBorders/>
      </w:tcPr>
    </w:tblStylePr>
    <w:tblStylePr w:type="band1Vert">
      <w:pPr>
        <w:pBdr/>
        <w:spacing/>
        <w:ind/>
      </w:pPr>
      <w:tblPr>
        <w:tblBorders/>
      </w:tblPr>
      <w:tcPr>
        <w:shd w:val="clear" w:color="fbe5d6" w:fill="fbe5d6" w:themeFill="accent2" w:themeFillTint="32"/>
        <w:tcBorders/>
      </w:tcPr>
    </w:tblStylePr>
    <w:tblStylePr w:type="band2Horz">
      <w:rPr>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ed7d31" w:themeColor="accent2"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9" w:customStyle="1">
    <w:name w:val="Grid Table 6 Colorful - Accent 3"/>
    <w:basedOn w:val="1253"/>
    <w:uiPriority w:val="99"/>
    <w:pPr>
      <w:pBdr/>
      <w:spacing/>
      <w:ind/>
    </w:pPr>
    <w:tblPr>
      <w:tblStyleRowBandSize w:val="1"/>
      <w:tblStyleColBandSize w:val="1"/>
      <w:tblCellMar>
        <w:left w:w="108" w:type="dxa"/>
        <w:top w:w="0" w:type="dxa"/>
        <w:right w:w="108" w:type="dxa"/>
        <w:bottom w:w="0" w:type="dxa"/>
      </w:tblCellMa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color w:val="606060" w:themeColor="accent3" w:themeTint="FE" w:themeShade="95"/>
        <w:sz w:val="22"/>
      </w:rPr>
      <w:pPr>
        <w:pBdr/>
        <w:spacing/>
        <w:ind/>
      </w:pPr>
      <w:tblPr>
        <w:tblBorders/>
      </w:tblPr>
      <w:tcPr>
        <w:shd w:val="clear" w:color="ececec" w:fill="ececec" w:themeFill="accent3" w:themeFillTint="34"/>
        <w:tcBorders/>
      </w:tcPr>
    </w:tblStylePr>
    <w:tblStylePr w:type="band1Vert">
      <w:pPr>
        <w:pBdr/>
        <w:spacing/>
        <w:ind/>
      </w:pPr>
      <w:tblPr>
        <w:tblBorders/>
      </w:tblPr>
      <w:tcPr>
        <w:shd w:val="clear" w:color="ececec" w:fill="ececec" w:themeFill="accent3" w:themeFillTint="34"/>
        <w:tcBorders/>
      </w:tcPr>
    </w:tblStylePr>
    <w:tblStylePr w:type="band2Horz">
      <w:rPr>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a5a5a5" w:themeColor="accent3"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0" w:customStyle="1">
    <w:name w:val="Grid Table 6 Colorful - Accent 4"/>
    <w:basedOn w:val="1253"/>
    <w:uiPriority w:val="99"/>
    <w:pPr>
      <w:pBdr/>
      <w:spacing/>
      <w:ind/>
    </w:pPr>
    <w:tblPr>
      <w:tblStyleRowBandSize w:val="1"/>
      <w:tblStyleColBandSize w:val="1"/>
      <w:tblCellMar>
        <w:left w:w="108" w:type="dxa"/>
        <w:top w:w="0" w:type="dxa"/>
        <w:right w:w="108" w:type="dxa"/>
        <w:bottom w:w="0" w:type="dxa"/>
      </w:tblCellMar>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2cb" w:fill="fff2cb" w:themeFill="accent4" w:themeFillTint="34"/>
        <w:tcBorders/>
      </w:tcPr>
    </w:tblStylePr>
    <w:tblStylePr w:type="band1Vert">
      <w:pPr>
        <w:pBdr/>
        <w:spacing/>
        <w:ind/>
      </w:pPr>
      <w:tblPr>
        <w:tblBorders/>
      </w:tblPr>
      <w:tcPr>
        <w:shd w:val="clear" w:color="fff2cb"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ffc000" w:themeColor="accent4"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1" w:customStyle="1">
    <w:name w:val="Grid Table 6 Colorful - Accent 5"/>
    <w:basedOn w:val="1253"/>
    <w:uiPriority w:val="99"/>
    <w:pPr>
      <w:pBdr/>
      <w:spacing/>
      <w:ind/>
    </w:pPr>
    <w:tblPr>
      <w:tblStyleRowBandSize w:val="1"/>
      <w:tblStyleColBandSize w:val="1"/>
      <w:tblCellMar>
        <w:left w:w="108" w:type="dxa"/>
        <w:top w:w="0" w:type="dxa"/>
        <w:right w:w="108" w:type="dxa"/>
        <w:bottom w:w="0" w:type="dxa"/>
      </w:tblCellMa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color w:val="254275" w:themeColor="accent5" w:themeShade="95"/>
        <w:sz w:val="22"/>
      </w:rPr>
      <w:pPr>
        <w:pBdr/>
        <w:spacing/>
        <w:ind/>
      </w:pPr>
      <w:tblPr>
        <w:tblBorders/>
      </w:tblPr>
      <w:tcPr>
        <w:shd w:val="clear" w:color="d8e2f3" w:fill="d8e2f3" w:themeFill="accent5" w:themeFillTint="34"/>
        <w:tcBorders/>
      </w:tcPr>
    </w:tblStylePr>
    <w:tblStylePr w:type="band1Vert">
      <w:pPr>
        <w:pBdr/>
        <w:spacing/>
        <w:ind/>
      </w:pPr>
      <w:tblPr>
        <w:tblBorders/>
      </w:tblPr>
      <w:tcPr>
        <w:shd w:val="clear" w:color="d8e2f3" w:fill="d8e2f3" w:themeFill="accent5" w:themeFillTint="34"/>
        <w:tcBorders/>
      </w:tcPr>
    </w:tblStylePr>
    <w:tblStylePr w:type="band2Horz">
      <w:rPr>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4472c4"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2" w:customStyle="1">
    <w:name w:val="Grid Table 6 Colorful - Accent 6"/>
    <w:basedOn w:val="1253"/>
    <w:uiPriority w:val="99"/>
    <w:pPr>
      <w:pBdr/>
      <w:spacing/>
      <w:ind/>
    </w:pPr>
    <w:tblPr>
      <w:tblStyleRowBandSize w:val="1"/>
      <w:tblStyleColBandSize w:val="1"/>
      <w:tblCellMar>
        <w:left w:w="108" w:type="dxa"/>
        <w:top w:w="0" w:type="dxa"/>
        <w:right w:w="108" w:type="dxa"/>
        <w:bottom w:w="0" w:type="dxa"/>
      </w:tblCellMa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color w:val="254275" w:themeColor="accent5" w:themeShade="95"/>
        <w:sz w:val="22"/>
      </w:rPr>
      <w:pPr>
        <w:pBdr/>
        <w:spacing/>
        <w:ind/>
      </w:pPr>
      <w:tblPr>
        <w:tblBorders/>
      </w:tblPr>
      <w:tcPr>
        <w:shd w:val="clear" w:color="e1efd8" w:fill="e1efd8" w:themeFill="accent6" w:themeFillTint="34"/>
        <w:tcBorders/>
      </w:tcPr>
    </w:tblStylePr>
    <w:tblStylePr w:type="band1Vert">
      <w:pPr>
        <w:pBdr/>
        <w:spacing/>
        <w:ind/>
      </w:pPr>
      <w:tblPr>
        <w:tblBorders/>
      </w:tblPr>
      <w:tcPr>
        <w:shd w:val="clear" w:color="e1efd8" w:fill="e1efd8" w:themeFill="accent6" w:themeFillTint="34"/>
        <w:tcBorders/>
      </w:tcPr>
    </w:tblStylePr>
    <w:tblStylePr w:type="band2Horz">
      <w:rPr>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70ad47"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3">
    <w:name w:val="Grid Table 7 Colorful"/>
    <w:basedOn w:val="1253"/>
    <w:uiPriority w:val="99"/>
    <w:pPr>
      <w:pBdr/>
      <w:spacing/>
      <w:ind/>
    </w:pPr>
    <w:tblPr>
      <w:tblStyleRowBandSize w:val="1"/>
      <w:tblStyleColBandSize w:val="1"/>
      <w:tblCellMar>
        <w:left w:w="108" w:type="dxa"/>
        <w:top w:w="0" w:type="dxa"/>
        <w:right w:w="108" w:type="dxa"/>
        <w:bottom w:w="0" w:type="dxa"/>
      </w:tblCellMar>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2f2f2" w:fill="f2f2f2" w:themeFill="text1" w:themeFillTint="00"/>
        <w:tcBorders/>
      </w:tcPr>
    </w:tblStylePr>
    <w:tblStylePr w:type="band1Vert">
      <w:pPr>
        <w:pBdr/>
        <w:spacing/>
        <w:ind/>
      </w:pPr>
      <w:tblPr>
        <w:tblBorders/>
      </w:tblPr>
      <w:tcPr>
        <w:shd w:val="clear" w:color="f2f2f2"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fill="auto"/>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4" w:customStyle="1">
    <w:name w:val="Grid Table 7 Colorful - Accent 1"/>
    <w:basedOn w:val="1253"/>
    <w:uiPriority w:val="99"/>
    <w:pPr>
      <w:pBdr/>
      <w:spacing/>
      <w:ind/>
    </w:pPr>
    <w:tblPr>
      <w:tblStyleRowBandSize w:val="1"/>
      <w:tblStyleColBandSize w:val="1"/>
      <w:tblCellMar>
        <w:left w:w="108" w:type="dxa"/>
        <w:top w:w="0" w:type="dxa"/>
        <w:right w:w="108" w:type="dxa"/>
        <w:bottom w:w="0" w:type="dxa"/>
      </w:tblCellMar>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color w:val="307abd" w:themeColor="accent1" w:themeTint="80" w:themeShade="95"/>
        <w:sz w:val="22"/>
      </w:rPr>
      <w:pPr>
        <w:pBdr/>
        <w:spacing/>
        <w:ind/>
      </w:pPr>
      <w:tblPr>
        <w:tblBorders/>
      </w:tblPr>
      <w:tcPr>
        <w:shd w:val="clear" w:color="ddeaf6" w:fill="ddeaf6" w:themeFill="accent1" w:themeFillTint="34"/>
        <w:tcBorders/>
      </w:tcPr>
    </w:tblStylePr>
    <w:tblStylePr w:type="band1Vert">
      <w:pPr>
        <w:pBdr/>
        <w:spacing/>
        <w:ind/>
      </w:pPr>
      <w:tblPr>
        <w:tblBorders/>
      </w:tblPr>
      <w:tcPr>
        <w:shd w:val="clear" w:color="ddeaf6" w:fill="ddeaf6" w:themeFill="accent1" w:themeFillTint="34"/>
        <w:tcBorders/>
      </w:tcPr>
    </w:tblStylePr>
    <w:tblStylePr w:type="band2Horz">
      <w:rPr>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07abd"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b/>
        <w:color w:val="307abd"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i/>
        <w:color w:val="307abd" w:themeColor="accent1" w:themeTint="80"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b/>
        <w:color w:val="307abd" w:themeColor="accent1" w:themeTint="80" w:themeShade="95"/>
        <w:sz w:val="22"/>
      </w:rPr>
      <w:pPr>
        <w:pBdr/>
        <w:spacing/>
        <w:ind/>
      </w:pPr>
      <w:tblPr>
        <w:tblBorders/>
      </w:tblPr>
      <w:tcPr>
        <w:shd w:val="clear" w:color="ffffff"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5" w:customStyle="1">
    <w:name w:val="Grid Table 7 Colorful - Accent 2"/>
    <w:basedOn w:val="1253"/>
    <w:uiPriority w:val="99"/>
    <w:pPr>
      <w:pBdr/>
      <w:spacing/>
      <w:ind/>
    </w:pPr>
    <w:tblPr>
      <w:tblStyleRowBandSize w:val="1"/>
      <w:tblStyleColBandSize w:val="1"/>
      <w:tblCellMar>
        <w:left w:w="108" w:type="dxa"/>
        <w:top w:w="0" w:type="dxa"/>
        <w:right w:w="108" w:type="dxa"/>
        <w:bottom w:w="0" w:type="dxa"/>
      </w:tblCellMar>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color w:val="ca5d12" w:themeColor="accent2" w:themeTint="97" w:themeShade="95"/>
        <w:sz w:val="22"/>
      </w:rPr>
      <w:pPr>
        <w:pBdr/>
        <w:spacing/>
        <w:ind/>
      </w:pPr>
      <w:tblPr>
        <w:tblBorders/>
      </w:tblPr>
      <w:tcPr>
        <w:shd w:val="clear" w:color="fbe5d6" w:fill="fbe5d6" w:themeFill="accent2" w:themeFillTint="32"/>
        <w:tcBorders/>
      </w:tcPr>
    </w:tblStylePr>
    <w:tblStylePr w:type="band1Vert">
      <w:pPr>
        <w:pBdr/>
        <w:spacing/>
        <w:ind/>
      </w:pPr>
      <w:tblPr>
        <w:tblBorders/>
      </w:tblPr>
      <w:tcPr>
        <w:shd w:val="clear" w:color="fbe5d6" w:fill="fbe5d6" w:themeFill="accent2" w:themeFillTint="32"/>
        <w:tcBorders/>
      </w:tcPr>
    </w:tblStylePr>
    <w:tblStylePr w:type="band2Horz">
      <w:rPr>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a5d12"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ed7d31" w:themeColor="accent2" w:sz="4" w:space="0"/>
        </w:tcBorders>
      </w:tcPr>
    </w:tblStylePr>
    <w:tblStylePr w:type="firstRow">
      <w:rPr>
        <w:b/>
        <w:color w:val="ca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ed7d31" w:themeColor="accent2" w:sz="4" w:space="0"/>
          <w:right w:val="none" w:color="000000" w:sz="4" w:space="0"/>
        </w:tcBorders>
      </w:tcPr>
    </w:tblStylePr>
    <w:tblStylePr w:type="lastCol">
      <w:rPr>
        <w:i/>
        <w:color w:val="ca5d12" w:themeColor="accent2" w:themeTint="97" w:themeShade="95"/>
        <w:sz w:val="22"/>
      </w:rPr>
      <w:pPr>
        <w:pBdr/>
        <w:spacing/>
        <w:ind/>
      </w:pPr>
      <w:tblPr>
        <w:tblBorders/>
      </w:tblPr>
      <w:tcPr>
        <w:shd w:val="clear" w:color="ffffff" w:fill="auto"/>
        <w:tcBorders>
          <w:top w:val="none" w:color="000000" w:sz="4" w:space="0"/>
          <w:left w:val="single" w:color="ed7d31" w:themeColor="accent2" w:sz="4" w:space="0"/>
          <w:bottom w:val="none" w:color="000000" w:sz="4" w:space="0"/>
          <w:right w:val="none" w:color="000000" w:sz="4" w:space="0"/>
        </w:tcBorders>
      </w:tcPr>
    </w:tblStylePr>
    <w:tblStylePr w:type="lastRow">
      <w:rPr>
        <w:b/>
        <w:color w:val="ca5d12" w:themeColor="accent2" w:themeTint="97" w:themeShade="95"/>
        <w:sz w:val="22"/>
      </w:rPr>
      <w:pPr>
        <w:pBdr/>
        <w:spacing/>
        <w:ind/>
      </w:pPr>
      <w:tblPr>
        <w:tblBorders/>
      </w:tblPr>
      <w:tcPr>
        <w:shd w:val="clear" w:color="ffffff" w:fill="ffffff" w:themeFill="light1"/>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6" w:customStyle="1">
    <w:name w:val="Grid Table 7 Colorful - Accent 3"/>
    <w:basedOn w:val="1253"/>
    <w:uiPriority w:val="99"/>
    <w:pPr>
      <w:pBdr/>
      <w:spacing/>
      <w:ind/>
    </w:pPr>
    <w:tblPr>
      <w:tblStyleRowBandSize w:val="1"/>
      <w:tblStyleColBandSize w:val="1"/>
      <w:tblCellMar>
        <w:left w:w="108" w:type="dxa"/>
        <w:top w:w="0" w:type="dxa"/>
        <w:right w:w="108" w:type="dxa"/>
        <w:bottom w:w="0" w:type="dxa"/>
      </w:tblCellMa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color w:val="606060" w:themeColor="accent3" w:themeTint="FE" w:themeShade="95"/>
        <w:sz w:val="22"/>
      </w:rPr>
      <w:pPr>
        <w:pBdr/>
        <w:spacing/>
        <w:ind/>
      </w:pPr>
      <w:tblPr>
        <w:tblBorders/>
      </w:tblPr>
      <w:tcPr>
        <w:shd w:val="clear" w:color="ececec" w:fill="ececec" w:themeFill="accent3" w:themeFillTint="34"/>
        <w:tcBorders/>
      </w:tcPr>
    </w:tblStylePr>
    <w:tblStylePr w:type="band1Vert">
      <w:pPr>
        <w:pBdr/>
        <w:spacing/>
        <w:ind/>
      </w:pPr>
      <w:tblPr>
        <w:tblBorders/>
      </w:tblPr>
      <w:tcPr>
        <w:shd w:val="clear" w:color="ececec" w:fill="ececec" w:themeFill="accent3" w:themeFillTint="34"/>
        <w:tcBorders/>
      </w:tcPr>
    </w:tblStylePr>
    <w:tblStylePr w:type="band2Horz">
      <w:rPr>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06060"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sz="4" w:space="0"/>
        </w:tcBorders>
      </w:tcPr>
    </w:tblStylePr>
    <w:tblStylePr w:type="firstRow">
      <w:rPr>
        <w:b/>
        <w:color w:val="606060"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a5a5a5" w:themeColor="accent3" w:sz="4" w:space="0"/>
          <w:right w:val="none" w:color="000000" w:sz="4" w:space="0"/>
        </w:tcBorders>
      </w:tcPr>
    </w:tblStylePr>
    <w:tblStylePr w:type="lastCol">
      <w:rPr>
        <w:i/>
        <w:color w:val="606060" w:themeColor="accent3" w:themeTint="FE" w:themeShade="95"/>
        <w:sz w:val="22"/>
      </w:rPr>
      <w:pPr>
        <w:pBdr/>
        <w:spacing/>
        <w:ind/>
      </w:pPr>
      <w:tblPr>
        <w:tblBorders/>
      </w:tblPr>
      <w:tcPr>
        <w:shd w:val="clear" w:color="ffffff" w:fill="auto"/>
        <w:tcBorders>
          <w:top w:val="none" w:color="000000" w:sz="4" w:space="0"/>
          <w:left w:val="single" w:color="a5a5a5" w:themeColor="accent3" w:sz="4" w:space="0"/>
          <w:bottom w:val="none" w:color="000000" w:sz="4" w:space="0"/>
          <w:right w:val="none" w:color="000000" w:sz="4" w:space="0"/>
        </w:tcBorders>
      </w:tcPr>
    </w:tblStylePr>
    <w:tblStylePr w:type="lastRow">
      <w:rPr>
        <w:b/>
        <w:color w:val="606060" w:themeColor="accent3" w:themeTint="FE" w:themeShade="95"/>
        <w:sz w:val="22"/>
      </w:rPr>
      <w:pPr>
        <w:pBdr/>
        <w:spacing/>
        <w:ind/>
      </w:pPr>
      <w:tblPr>
        <w:tblBorders/>
      </w:tblPr>
      <w:tcPr>
        <w:shd w:val="clear" w:color="ffffff" w:fill="ffffff" w:themeFill="light1"/>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7" w:customStyle="1">
    <w:name w:val="Grid Table 7 Colorful - Accent 4"/>
    <w:basedOn w:val="1253"/>
    <w:uiPriority w:val="99"/>
    <w:pPr>
      <w:pBdr/>
      <w:spacing/>
      <w:ind/>
    </w:pPr>
    <w:tblPr>
      <w:tblStyleRowBandSize w:val="1"/>
      <w:tblStyleColBandSize w:val="1"/>
      <w:tblCellMar>
        <w:left w:w="108" w:type="dxa"/>
        <w:top w:w="0" w:type="dxa"/>
        <w:right w:w="108" w:type="dxa"/>
        <w:bottom w:w="0" w:type="dxa"/>
      </w:tblCellMar>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2cb" w:fill="fff2cb" w:themeFill="accent4" w:themeFillTint="34"/>
        <w:tcBorders/>
      </w:tcPr>
    </w:tblStylePr>
    <w:tblStylePr w:type="band1Vert">
      <w:pPr>
        <w:pBdr/>
        <w:spacing/>
        <w:ind/>
      </w:pPr>
      <w:tblPr>
        <w:tblBorders/>
      </w:tblPr>
      <w:tcPr>
        <w:shd w:val="clear" w:color="fff2cb"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c000" w:themeColor="accent4" w:sz="4" w:space="0"/>
        </w:tcBorders>
      </w:tcPr>
    </w:tblStylePr>
    <w:tblStylePr w:type="firstRow">
      <w:rPr>
        <w:b/>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ffc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fill="auto"/>
        <w:tcBorders>
          <w:top w:val="none" w:color="000000" w:sz="4" w:space="0"/>
          <w:left w:val="single" w:color="ffc000" w:themeColor="accent4" w:sz="4" w:space="0"/>
          <w:bottom w:val="none" w:color="000000" w:sz="4" w:space="0"/>
          <w:right w:val="none" w:color="000000" w:sz="4" w:space="0"/>
        </w:tcBorders>
      </w:tcPr>
    </w:tblStylePr>
    <w:tblStylePr w:type="lastRow">
      <w:rPr>
        <w:b/>
        <w:color w:val="d09d00" w:themeColor="accent4" w:themeTint="9A" w:themeShade="95"/>
        <w:sz w:val="22"/>
      </w:rPr>
      <w:pPr>
        <w:pBdr/>
        <w:spacing/>
        <w:ind/>
      </w:pPr>
      <w:tblPr>
        <w:tblBorders/>
      </w:tblPr>
      <w:tcPr>
        <w:shd w:val="clear" w:color="ffffff" w:fill="ffffff" w:themeFill="light1"/>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8" w:customStyle="1">
    <w:name w:val="Grid Table 7 Colorful - Accent 5"/>
    <w:basedOn w:val="1253"/>
    <w:uiPriority w:val="99"/>
    <w:pPr>
      <w:pBdr/>
      <w:spacing/>
      <w:ind/>
    </w:pPr>
    <w:tblPr>
      <w:tblStyleRowBandSize w:val="1"/>
      <w:tblStyleColBandSize w:val="1"/>
      <w:tblCellMar>
        <w:left w:w="108" w:type="dxa"/>
        <w:top w:w="0" w:type="dxa"/>
        <w:right w:w="108" w:type="dxa"/>
        <w:bottom w:w="0" w:type="dxa"/>
      </w:tblCellMa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color w:val="254275" w:themeColor="accent5" w:themeShade="95"/>
        <w:sz w:val="22"/>
      </w:rPr>
      <w:pPr>
        <w:pBdr/>
        <w:spacing/>
        <w:ind/>
      </w:pPr>
      <w:tblPr>
        <w:tblBorders/>
      </w:tblPr>
      <w:tcPr>
        <w:shd w:val="clear" w:color="d8e2f3" w:fill="d8e2f3" w:themeFill="accent5" w:themeFillTint="34"/>
        <w:tcBorders/>
      </w:tcPr>
    </w:tblStylePr>
    <w:tblStylePr w:type="band1Vert">
      <w:pPr>
        <w:pBdr/>
        <w:spacing/>
        <w:ind/>
      </w:pPr>
      <w:tblPr>
        <w:tblBorders/>
      </w:tblPr>
      <w:tcPr>
        <w:shd w:val="clear" w:color="d8e2f3" w:fill="d8e2f3" w:themeFill="accent5" w:themeFillTint="34"/>
        <w:tcBorders/>
      </w:tcPr>
    </w:tblStylePr>
    <w:tblStylePr w:type="band2Horz">
      <w:rPr>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2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5" w:sz="4" w:space="0"/>
        </w:tcBorders>
      </w:tcPr>
    </w:tblStylePr>
    <w:tblStylePr w:type="firstRow">
      <w:rPr>
        <w:b/>
        <w:color w:val="254275"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4472c4" w:themeColor="accent5" w:sz="4" w:space="0"/>
          <w:right w:val="none" w:color="000000" w:sz="4" w:space="0"/>
        </w:tcBorders>
      </w:tcPr>
    </w:tblStylePr>
    <w:tblStylePr w:type="lastCol">
      <w:rPr>
        <w:i/>
        <w:color w:val="254275" w:themeColor="accent5" w:themeShade="95"/>
        <w:sz w:val="22"/>
      </w:rPr>
      <w:pPr>
        <w:pBdr/>
        <w:spacing/>
        <w:ind/>
      </w:pPr>
      <w:tblPr>
        <w:tblBorders/>
      </w:tblPr>
      <w:tcPr>
        <w:shd w:val="clear" w:color="ffffff" w:fill="auto"/>
        <w:tcBorders>
          <w:top w:val="none" w:color="000000" w:sz="4" w:space="0"/>
          <w:left w:val="single" w:color="4472c4" w:themeColor="accent5" w:sz="4" w:space="0"/>
          <w:bottom w:val="none" w:color="000000" w:sz="4" w:space="0"/>
          <w:right w:val="none" w:color="000000" w:sz="4" w:space="0"/>
        </w:tcBorders>
      </w:tcPr>
    </w:tblStylePr>
    <w:tblStylePr w:type="lastRow">
      <w:rPr>
        <w:b/>
        <w:color w:val="254275" w:themeColor="accent5" w:themeShade="95"/>
        <w:sz w:val="22"/>
      </w:rPr>
      <w:pPr>
        <w:pBdr/>
        <w:spacing/>
        <w:ind/>
      </w:pPr>
      <w:tblPr>
        <w:tblBorders/>
      </w:tblPr>
      <w:tcPr>
        <w:shd w:val="clear" w:color="ffffff" w:fill="ffffff" w:themeFill="light1"/>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9" w:customStyle="1">
    <w:name w:val="Grid Table 7 Colorful - Accent 6"/>
    <w:basedOn w:val="1253"/>
    <w:uiPriority w:val="99"/>
    <w:pPr>
      <w:pBdr/>
      <w:spacing/>
      <w:ind/>
    </w:pPr>
    <w:tblPr>
      <w:tblStyleRowBandSize w:val="1"/>
      <w:tblStyleColBandSize w:val="1"/>
      <w:tblCellMar>
        <w:left w:w="108" w:type="dxa"/>
        <w:top w:w="0" w:type="dxa"/>
        <w:right w:w="108" w:type="dxa"/>
        <w:bottom w:w="0" w:type="dxa"/>
      </w:tblCellMa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color w:val="416529" w:themeColor="accent6" w:themeShade="95"/>
        <w:sz w:val="22"/>
      </w:rPr>
      <w:pPr>
        <w:pBdr/>
        <w:spacing/>
        <w:ind/>
      </w:pPr>
      <w:tblPr>
        <w:tblBorders/>
      </w:tblPr>
      <w:tcPr>
        <w:shd w:val="clear" w:color="e1efd8" w:fill="e1efd8" w:themeFill="accent6" w:themeFillTint="34"/>
        <w:tcBorders/>
      </w:tcPr>
    </w:tblStylePr>
    <w:tblStylePr w:type="band1Vert">
      <w:pPr>
        <w:pBdr/>
        <w:spacing/>
        <w:ind/>
      </w:pPr>
      <w:tblPr>
        <w:tblBorders/>
      </w:tblPr>
      <w:tcPr>
        <w:shd w:val="clear" w:color="e1efd8" w:fill="e1efd8" w:themeFill="accent6" w:themeFillTint="34"/>
        <w:tcBorders/>
      </w:tcPr>
    </w:tblStylePr>
    <w:tblStylePr w:type="band2Horz">
      <w:rPr>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5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0ad47" w:themeColor="accent6" w:sz="4" w:space="0"/>
        </w:tcBorders>
      </w:tcPr>
    </w:tblStylePr>
    <w:tblStylePr w:type="firstRow">
      <w:rPr>
        <w:b/>
        <w:color w:val="4165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70ad47" w:themeColor="accent6" w:sz="4" w:space="0"/>
          <w:right w:val="none" w:color="000000" w:sz="4" w:space="0"/>
        </w:tcBorders>
      </w:tcPr>
    </w:tblStylePr>
    <w:tblStylePr w:type="lastCol">
      <w:rPr>
        <w:i/>
        <w:color w:val="416529" w:themeColor="accent6" w:themeShade="95"/>
        <w:sz w:val="22"/>
      </w:rPr>
      <w:pPr>
        <w:pBdr/>
        <w:spacing/>
        <w:ind/>
      </w:pPr>
      <w:tblPr>
        <w:tblBorders/>
      </w:tblPr>
      <w:tcPr>
        <w:shd w:val="clear" w:color="ffffff" w:fill="auto"/>
        <w:tcBorders>
          <w:top w:val="none" w:color="000000" w:sz="4" w:space="0"/>
          <w:left w:val="single" w:color="70ad47" w:themeColor="accent6" w:sz="4" w:space="0"/>
          <w:bottom w:val="none" w:color="000000" w:sz="4" w:space="0"/>
          <w:right w:val="none" w:color="000000" w:sz="4" w:space="0"/>
        </w:tcBorders>
      </w:tcPr>
    </w:tblStylePr>
    <w:tblStylePr w:type="lastRow">
      <w:rPr>
        <w:b/>
        <w:color w:val="416529" w:themeColor="accent6" w:themeShade="95"/>
        <w:sz w:val="22"/>
      </w:rPr>
      <w:pPr>
        <w:pBdr/>
        <w:spacing/>
        <w:ind/>
      </w:pPr>
      <w:tblPr>
        <w:tblBorders/>
      </w:tblPr>
      <w:tcPr>
        <w:shd w:val="clear" w:color="ffffff" w:fill="ffffff" w:themeFill="light1"/>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0">
    <w:name w:val="List Table 1 Light"/>
    <w:basedOn w:val="125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bfbfbf" w:fill="bfbfbf" w:themeFill="text1" w:themeFillTint="40"/>
        <w:tcBorders/>
      </w:tcPr>
    </w:tblStylePr>
    <w:tblStylePr w:type="band1Vert">
      <w:pPr>
        <w:pBdr/>
        <w:spacing/>
        <w:ind/>
      </w:pPr>
      <w:tblPr>
        <w:tblBorders/>
      </w:tblPr>
      <w:tcPr>
        <w:shd w:val="clear" w:color="bfbfb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1" w:customStyle="1">
    <w:name w:val="List Table 1 Light - Accent 1"/>
    <w:basedOn w:val="125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d5e5f4" w:fill="d5e5f4" w:themeFill="accent1" w:themeFillTint="40"/>
        <w:tcBorders/>
      </w:tcPr>
    </w:tblStylePr>
    <w:tblStylePr w:type="band1Vert">
      <w:pPr>
        <w:pBdr/>
        <w:spacing/>
        <w:ind/>
      </w:pPr>
      <w:tblPr>
        <w:tblBorders/>
      </w:tblPr>
      <w:tcPr>
        <w:shd w:val="clear" w:color="d5e5f4"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2" w:customStyle="1">
    <w:name w:val="List Table 1 Light - Accent 2"/>
    <w:basedOn w:val="125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fadecb" w:fill="fadecb" w:themeFill="accent2" w:themeFillTint="40"/>
        <w:tcBorders/>
      </w:tcPr>
    </w:tblStylePr>
    <w:tblStylePr w:type="band1Vert">
      <w:pPr>
        <w:pBdr/>
        <w:spacing/>
        <w:ind/>
      </w:pPr>
      <w:tblPr>
        <w:tblBorders/>
      </w:tblPr>
      <w:tcPr>
        <w:shd w:val="clear" w:color="fadecb"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3" w:customStyle="1">
    <w:name w:val="List Table 1 Light - Accent 3"/>
    <w:basedOn w:val="125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e8e8e8" w:fill="e8e8e8" w:themeFill="accent3" w:themeFillTint="40"/>
        <w:tcBorders/>
      </w:tcPr>
    </w:tblStylePr>
    <w:tblStylePr w:type="band1Vert">
      <w:pPr>
        <w:pBdr/>
        <w:spacing/>
        <w:ind/>
      </w:pPr>
      <w:tblPr>
        <w:tblBorders/>
      </w:tblPr>
      <w:tcPr>
        <w:shd w:val="clear" w:color="e8e8e8"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4" w:customStyle="1">
    <w:name w:val="List Table 1 Light - Accent 4"/>
    <w:basedOn w:val="125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ffefbf" w:fill="ffefbf" w:themeFill="accent4" w:themeFillTint="40"/>
        <w:tcBorders/>
      </w:tcPr>
    </w:tblStylePr>
    <w:tblStylePr w:type="band1Vert">
      <w:pPr>
        <w:pBdr/>
        <w:spacing/>
        <w:ind/>
      </w:pPr>
      <w:tblPr>
        <w:tblBorders/>
      </w:tblPr>
      <w:tcPr>
        <w:shd w:val="clear" w:color="ffefb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5" w:customStyle="1">
    <w:name w:val="List Table 1 Light - Accent 5"/>
    <w:basedOn w:val="125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cfdbf0" w:fill="cfdbf0" w:themeFill="accent5" w:themeFillTint="40"/>
        <w:tcBorders/>
      </w:tcPr>
    </w:tblStylePr>
    <w:tblStylePr w:type="band1Vert">
      <w:pPr>
        <w:pBdr/>
        <w:spacing/>
        <w:ind/>
      </w:pPr>
      <w:tblPr>
        <w:tblBorders/>
      </w:tblPr>
      <w:tcPr>
        <w:shd w:val="clear" w:color="cfdbf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6" w:customStyle="1">
    <w:name w:val="List Table 1 Light - Accent 6"/>
    <w:basedOn w:val="125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daebcf" w:fill="daebcf" w:themeFill="accent6" w:themeFillTint="40"/>
        <w:tcBorders/>
      </w:tcPr>
    </w:tblStylePr>
    <w:tblStylePr w:type="band1Vert">
      <w:pPr>
        <w:pBdr/>
        <w:spacing/>
        <w:ind/>
      </w:pPr>
      <w:tblPr>
        <w:tblBorders/>
      </w:tblPr>
      <w:tcPr>
        <w:shd w:val="clear" w:color="daebcf"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7">
    <w:name w:val="List Table 2"/>
    <w:basedOn w:val="1253"/>
    <w:uiPriority w:val="99"/>
    <w:pPr>
      <w:pBdr/>
      <w:spacing/>
      <w:ind/>
    </w:pPr>
    <w:tblPr>
      <w:tblStyleRowBandSize w:val="1"/>
      <w:tblStyleColBandSize w:val="1"/>
      <w:tblCellMar>
        <w:left w:w="108" w:type="dxa"/>
        <w:top w:w="0" w:type="dxa"/>
        <w:right w:w="108" w:type="dxa"/>
        <w:bottom w:w="0" w:type="dxa"/>
      </w:tblCellMar>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sz w:val="22"/>
      </w:rPr>
      <w:pPr>
        <w:pBdr/>
        <w:spacing/>
        <w:ind/>
      </w:pPr>
      <w:tblPr>
        <w:tblBorders/>
      </w:tblPr>
      <w:tcPr>
        <w:shd w:val="clear" w:color="bfbfbf" w:fill="bfbfbf" w:themeFill="text1" w:themeFillTint="40"/>
        <w:tcBorders/>
      </w:tcPr>
    </w:tblStylePr>
    <w:tblStylePr w:type="band1Vert">
      <w:rPr>
        <w:sz w:val="22"/>
      </w:rPr>
      <w:pPr>
        <w:pBdr/>
        <w:spacing/>
        <w:ind/>
      </w:pPr>
      <w:tblPr>
        <w:tblBorders/>
      </w:tblPr>
      <w:tcPr>
        <w:shd w:val="clear" w:color="bfbfb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8" w:customStyle="1">
    <w:name w:val="List Table 2 - Accent 1"/>
    <w:basedOn w:val="1253"/>
    <w:uiPriority w:val="99"/>
    <w:pPr>
      <w:pBdr/>
      <w:spacing/>
      <w:ind/>
    </w:pPr>
    <w:tblPr>
      <w:tblStyleRowBandSize w:val="1"/>
      <w:tblStyleColBandSize w:val="1"/>
      <w:tblCellMar>
        <w:left w:w="108" w:type="dxa"/>
        <w:top w:w="0" w:type="dxa"/>
        <w:right w:w="108" w:type="dxa"/>
        <w:bottom w:w="0" w:type="dxa"/>
      </w:tblCellMar>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sz w:val="22"/>
      </w:rPr>
      <w:pPr>
        <w:pBdr/>
        <w:spacing/>
        <w:ind/>
      </w:pPr>
      <w:tblPr>
        <w:tblBorders/>
      </w:tblPr>
      <w:tcPr>
        <w:shd w:val="clear" w:color="d5e5f4" w:fill="d5e5f4" w:themeFill="accent1" w:themeFillTint="40"/>
        <w:tcBorders/>
      </w:tcPr>
    </w:tblStylePr>
    <w:tblStylePr w:type="band1Vert">
      <w:rPr>
        <w:sz w:val="22"/>
      </w:rPr>
      <w:pPr>
        <w:pBdr/>
        <w:spacing/>
        <w:ind/>
      </w:pPr>
      <w:tblPr>
        <w:tblBorders/>
      </w:tblPr>
      <w:tcPr>
        <w:shd w:val="clear" w:color="d5e5f4"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5b9bd5" w:themeColor="accent1" w:sz="4" w:space="0"/>
          <w:left w:val="none" w:color="000000" w:sz="4" w:space="0"/>
          <w:bottom w:val="single" w:color="5b9bd5"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5b9bd5" w:themeColor="accent1" w:sz="4" w:space="0"/>
          <w:left w:val="none" w:color="000000" w:sz="4" w:space="0"/>
          <w:bottom w:val="single" w:color="5b9bd5"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9" w:customStyle="1">
    <w:name w:val="List Table 2 - Accent 2"/>
    <w:basedOn w:val="1253"/>
    <w:uiPriority w:val="99"/>
    <w:pPr>
      <w:pBdr/>
      <w:spacing/>
      <w:ind/>
    </w:pPr>
    <w:tblPr>
      <w:tblStyleRowBandSize w:val="1"/>
      <w:tblStyleColBandSize w:val="1"/>
      <w:tblCellMar>
        <w:left w:w="108" w:type="dxa"/>
        <w:top w:w="0" w:type="dxa"/>
        <w:right w:w="108" w:type="dxa"/>
        <w:bottom w:w="0" w:type="dxa"/>
      </w:tblCellMar>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sz w:val="22"/>
      </w:rPr>
      <w:pPr>
        <w:pBdr/>
        <w:spacing/>
        <w:ind/>
      </w:pPr>
      <w:tblPr>
        <w:tblBorders/>
      </w:tblPr>
      <w:tcPr>
        <w:shd w:val="clear" w:color="fadecb" w:fill="fadecb" w:themeFill="accent2" w:themeFillTint="40"/>
        <w:tcBorders/>
      </w:tcPr>
    </w:tblStylePr>
    <w:tblStylePr w:type="band1Vert">
      <w:rPr>
        <w:sz w:val="22"/>
      </w:rPr>
      <w:pPr>
        <w:pBdr/>
        <w:spacing/>
        <w:ind/>
      </w:pPr>
      <w:tblPr>
        <w:tblBorders/>
      </w:tblPr>
      <w:tcPr>
        <w:shd w:val="clear" w:color="fadecb"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ed7d31" w:themeColor="accent2" w:sz="4" w:space="0"/>
          <w:left w:val="none" w:color="000000" w:sz="4" w:space="0"/>
          <w:bottom w:val="single" w:color="ed7d31"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ed7d31" w:themeColor="accent2" w:sz="4" w:space="0"/>
          <w:left w:val="none" w:color="000000" w:sz="4" w:space="0"/>
          <w:bottom w:val="single" w:color="ed7d31"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0" w:customStyle="1">
    <w:name w:val="List Table 2 - Accent 3"/>
    <w:basedOn w:val="1253"/>
    <w:uiPriority w:val="99"/>
    <w:pPr>
      <w:pBdr/>
      <w:spacing/>
      <w:ind/>
    </w:pPr>
    <w:tblPr>
      <w:tblStyleRowBandSize w:val="1"/>
      <w:tblStyleColBandSize w:val="1"/>
      <w:tblCellMar>
        <w:left w:w="108" w:type="dxa"/>
        <w:top w:w="0" w:type="dxa"/>
        <w:right w:w="108" w:type="dxa"/>
        <w:bottom w:w="0" w:type="dxa"/>
      </w:tblCellMar>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sz w:val="22"/>
      </w:rPr>
      <w:pPr>
        <w:pBdr/>
        <w:spacing/>
        <w:ind/>
      </w:pPr>
      <w:tblPr>
        <w:tblBorders/>
      </w:tblPr>
      <w:tcPr>
        <w:shd w:val="clear" w:color="e8e8e8" w:fill="e8e8e8" w:themeFill="accent3" w:themeFillTint="40"/>
        <w:tcBorders/>
      </w:tcPr>
    </w:tblStylePr>
    <w:tblStylePr w:type="band1Vert">
      <w:rPr>
        <w:sz w:val="22"/>
      </w:rPr>
      <w:pPr>
        <w:pBdr/>
        <w:spacing/>
        <w:ind/>
      </w:pPr>
      <w:tblPr>
        <w:tblBorders/>
      </w:tblPr>
      <w:tcPr>
        <w:shd w:val="clear" w:color="e8e8e8"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a5a5a5" w:themeColor="accent3" w:sz="4" w:space="0"/>
          <w:left w:val="none" w:color="000000" w:sz="4" w:space="0"/>
          <w:bottom w:val="single" w:color="a5a5a5"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a5a5a5" w:themeColor="accent3" w:sz="4" w:space="0"/>
          <w:left w:val="none" w:color="000000" w:sz="4" w:space="0"/>
          <w:bottom w:val="single" w:color="a5a5a5"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1" w:customStyle="1">
    <w:name w:val="List Table 2 - Accent 4"/>
    <w:basedOn w:val="1253"/>
    <w:uiPriority w:val="99"/>
    <w:pPr>
      <w:pBdr/>
      <w:spacing/>
      <w:ind/>
    </w:pPr>
    <w:tblPr>
      <w:tblStyleRowBandSize w:val="1"/>
      <w:tblStyleColBandSize w:val="1"/>
      <w:tblCellMar>
        <w:left w:w="108" w:type="dxa"/>
        <w:top w:w="0" w:type="dxa"/>
        <w:right w:w="108" w:type="dxa"/>
        <w:bottom w:w="0" w:type="dxa"/>
      </w:tblCellMar>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sz w:val="22"/>
      </w:rPr>
      <w:pPr>
        <w:pBdr/>
        <w:spacing/>
        <w:ind/>
      </w:pPr>
      <w:tblPr>
        <w:tblBorders/>
      </w:tblPr>
      <w:tcPr>
        <w:shd w:val="clear" w:color="ffefbf" w:fill="ffefbf" w:themeFill="accent4" w:themeFillTint="40"/>
        <w:tcBorders/>
      </w:tcPr>
    </w:tblStylePr>
    <w:tblStylePr w:type="band1Vert">
      <w:rPr>
        <w:sz w:val="22"/>
      </w:rPr>
      <w:pPr>
        <w:pBdr/>
        <w:spacing/>
        <w:ind/>
      </w:pPr>
      <w:tblPr>
        <w:tblBorders/>
      </w:tblPr>
      <w:tcPr>
        <w:shd w:val="clear" w:color="ffefb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ffc000" w:themeColor="accent4" w:sz="4" w:space="0"/>
          <w:left w:val="none" w:color="000000" w:sz="4" w:space="0"/>
          <w:bottom w:val="single" w:color="ffc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ffc000" w:themeColor="accent4" w:sz="4" w:space="0"/>
          <w:left w:val="none" w:color="000000" w:sz="4" w:space="0"/>
          <w:bottom w:val="single" w:color="ffc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2" w:customStyle="1">
    <w:name w:val="List Table 2 - Accent 5"/>
    <w:basedOn w:val="1253"/>
    <w:uiPriority w:val="99"/>
    <w:pPr>
      <w:pBdr/>
      <w:spacing/>
      <w:ind/>
    </w:pPr>
    <w:tblPr>
      <w:tblStyleRowBandSize w:val="1"/>
      <w:tblStyleColBandSize w:val="1"/>
      <w:tblCellMar>
        <w:left w:w="108" w:type="dxa"/>
        <w:top w:w="0" w:type="dxa"/>
        <w:right w:w="108" w:type="dxa"/>
        <w:bottom w:w="0" w:type="dxa"/>
      </w:tblCellMar>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sz w:val="22"/>
      </w:rPr>
      <w:pPr>
        <w:pBdr/>
        <w:spacing/>
        <w:ind/>
      </w:pPr>
      <w:tblPr>
        <w:tblBorders/>
      </w:tblPr>
      <w:tcPr>
        <w:shd w:val="clear" w:color="cfdbf0" w:fill="cfdbf0" w:themeFill="accent5" w:themeFillTint="40"/>
        <w:tcBorders/>
      </w:tcPr>
    </w:tblStylePr>
    <w:tblStylePr w:type="band1Vert">
      <w:rPr>
        <w:sz w:val="22"/>
      </w:rPr>
      <w:pPr>
        <w:pBdr/>
        <w:spacing/>
        <w:ind/>
      </w:pPr>
      <w:tblPr>
        <w:tblBorders/>
      </w:tblPr>
      <w:tcPr>
        <w:shd w:val="clear" w:color="cfdbf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4472c4" w:themeColor="accent5" w:sz="4" w:space="0"/>
          <w:left w:val="none" w:color="000000" w:sz="4" w:space="0"/>
          <w:bottom w:val="single" w:color="4472c4"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4472c4" w:themeColor="accent5" w:sz="4" w:space="0"/>
          <w:left w:val="none" w:color="000000" w:sz="4" w:space="0"/>
          <w:bottom w:val="single" w:color="4472c4"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3" w:customStyle="1">
    <w:name w:val="List Table 2 - Accent 6"/>
    <w:basedOn w:val="1253"/>
    <w:uiPriority w:val="99"/>
    <w:pPr>
      <w:pBdr/>
      <w:spacing/>
      <w:ind/>
    </w:pPr>
    <w:tblPr>
      <w:tblStyleRowBandSize w:val="1"/>
      <w:tblStyleColBandSize w:val="1"/>
      <w:tblCellMar>
        <w:left w:w="108" w:type="dxa"/>
        <w:top w:w="0" w:type="dxa"/>
        <w:right w:w="108" w:type="dxa"/>
        <w:bottom w:w="0" w:type="dxa"/>
      </w:tblCellMar>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sz w:val="22"/>
      </w:rPr>
      <w:pPr>
        <w:pBdr/>
        <w:spacing/>
        <w:ind/>
      </w:pPr>
      <w:tblPr>
        <w:tblBorders/>
      </w:tblPr>
      <w:tcPr>
        <w:shd w:val="clear" w:color="daebcf" w:fill="daebcf" w:themeFill="accent6" w:themeFillTint="40"/>
        <w:tcBorders/>
      </w:tcPr>
    </w:tblStylePr>
    <w:tblStylePr w:type="band1Vert">
      <w:rPr>
        <w:sz w:val="22"/>
      </w:rPr>
      <w:pPr>
        <w:pBdr/>
        <w:spacing/>
        <w:ind/>
      </w:pPr>
      <w:tblPr>
        <w:tblBorders/>
      </w:tblPr>
      <w:tcPr>
        <w:shd w:val="clear" w:color="daebcf"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70ad47" w:themeColor="accent6" w:sz="4" w:space="0"/>
          <w:left w:val="none" w:color="000000" w:sz="4" w:space="0"/>
          <w:bottom w:val="single" w:color="70ad47"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70ad47" w:themeColor="accent6" w:sz="4" w:space="0"/>
          <w:left w:val="none" w:color="000000" w:sz="4" w:space="0"/>
          <w:bottom w:val="single" w:color="70ad47"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4">
    <w:name w:val="List Table 3"/>
    <w:basedOn w:val="1253"/>
    <w:uiPriority w:val="99"/>
    <w:pPr>
      <w:pBdr/>
      <w:spacing/>
      <w:ind/>
    </w:pPr>
    <w:tblPr>
      <w:tblStyleRowBandSize w:val="1"/>
      <w:tblStyleColBandSize w:val="1"/>
      <w:tblCellMar>
        <w:left w:w="108" w:type="dxa"/>
        <w:top w:w="0" w:type="dxa"/>
        <w:right w:w="108" w:type="dxa"/>
        <w:bottom w:w="0" w:type="dxa"/>
      </w:tblCellMar>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5" w:customStyle="1">
    <w:name w:val="List Table 3 - Accent 1"/>
    <w:basedOn w:val="1253"/>
    <w:uiPriority w:val="99"/>
    <w:pPr>
      <w:pBdr/>
      <w:spacing/>
      <w:ind/>
    </w:pPr>
    <w:tblPr>
      <w:tblStyleRowBandSize w:val="1"/>
      <w:tblStyleColBandSize w:val="1"/>
      <w:tblCellMar>
        <w:left w:w="108" w:type="dxa"/>
        <w:top w:w="0" w:type="dxa"/>
        <w:right w:w="108" w:type="dxa"/>
        <w:bottom w:w="0" w:type="dxa"/>
      </w:tblCellMa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sz w:val="22"/>
      </w:rPr>
      <w:pPr>
        <w:pBdr/>
        <w:spacing/>
        <w:ind/>
      </w:pPr>
      <w:tblPr>
        <w:tblBorders/>
      </w:tblPr>
      <w:tcPr>
        <w:tcBorders>
          <w:top w:val="single" w:color="5b9bd5" w:themeColor="accent1" w:sz="4" w:space="0"/>
          <w:bottom w:val="single" w:color="5b9bd5" w:themeColor="accent1" w:sz="4" w:space="0"/>
        </w:tcBorders>
      </w:tcPr>
    </w:tblStylePr>
    <w:tblStylePr w:type="band1Vert">
      <w:rPr>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5b9bd5" w:fill="5b9bd5"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6" w:customStyle="1">
    <w:name w:val="List Table 3 - Accent 2"/>
    <w:basedOn w:val="1253"/>
    <w:uiPriority w:val="99"/>
    <w:pPr>
      <w:pBdr/>
      <w:spacing/>
      <w:ind/>
    </w:pPr>
    <w:tblPr>
      <w:tblStyleRowBandSize w:val="1"/>
      <w:tblStyleColBandSize w:val="1"/>
      <w:tblCellMar>
        <w:left w:w="108" w:type="dxa"/>
        <w:top w:w="0" w:type="dxa"/>
        <w:right w:w="108" w:type="dxa"/>
        <w:bottom w:w="0" w:type="dxa"/>
      </w:tblCellMar>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sz w:val="22"/>
      </w:rPr>
      <w:pPr>
        <w:pBdr/>
        <w:spacing/>
        <w:ind/>
      </w:pPr>
      <w:tblPr>
        <w:tblBorders/>
      </w:tblPr>
      <w:tcPr>
        <w:tcBorders>
          <w:top w:val="single" w:color="ed7d31" w:themeColor="accent2" w:sz="4" w:space="0"/>
          <w:bottom w:val="single" w:color="ed7d31" w:themeColor="accent2" w:sz="4" w:space="0"/>
        </w:tcBorders>
      </w:tcPr>
    </w:tblStylePr>
    <w:tblStylePr w:type="band1Vert">
      <w:rPr>
        <w:sz w:val="22"/>
      </w:rPr>
      <w:pPr>
        <w:pBdr/>
        <w:spacing/>
        <w:ind/>
      </w:pPr>
      <w:tblPr>
        <w:tblBorders/>
      </w:tblPr>
      <w:tcPr>
        <w:tcBorders>
          <w:left w:val="single" w:color="ed7d31" w:themeColor="accent2" w:sz="4" w:space="0"/>
          <w:right w:val="single" w:color="ed7d31"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4b184" w:fill="f4b184"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7" w:customStyle="1">
    <w:name w:val="List Table 3 - Accent 3"/>
    <w:basedOn w:val="1253"/>
    <w:uiPriority w:val="99"/>
    <w:pPr>
      <w:pBdr/>
      <w:spacing/>
      <w:ind/>
    </w:pPr>
    <w:tblPr>
      <w:tblStyleRowBandSize w:val="1"/>
      <w:tblStyleColBandSize w:val="1"/>
      <w:tblCellMar>
        <w:left w:w="108" w:type="dxa"/>
        <w:top w:w="0" w:type="dxa"/>
        <w:right w:w="108" w:type="dxa"/>
        <w:bottom w:w="0" w:type="dxa"/>
      </w:tblCellMa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sz w:val="22"/>
      </w:rPr>
      <w:pPr>
        <w:pBdr/>
        <w:spacing/>
        <w:ind/>
      </w:pPr>
      <w:tblPr>
        <w:tblBorders/>
      </w:tblPr>
      <w:tcPr>
        <w:tcBorders>
          <w:top w:val="single" w:color="a5a5a5" w:themeColor="accent3" w:sz="4" w:space="0"/>
          <w:bottom w:val="single" w:color="a5a5a5" w:themeColor="accent3" w:sz="4" w:space="0"/>
        </w:tcBorders>
      </w:tcPr>
    </w:tblStylePr>
    <w:tblStylePr w:type="band1Vert">
      <w:rPr>
        <w:sz w:val="22"/>
      </w:rPr>
      <w:pPr>
        <w:pBdr/>
        <w:spacing/>
        <w:ind/>
      </w:pPr>
      <w:tblPr>
        <w:tblBorders/>
      </w:tblPr>
      <w:tcPr>
        <w:tcBorders>
          <w:left w:val="single" w:color="a5a5a5" w:themeColor="accent3" w:sz="4" w:space="0"/>
          <w:right w:val="single" w:color="a5a5a5"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c9c9c9"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8" w:customStyle="1">
    <w:name w:val="List Table 3 - Accent 4"/>
    <w:basedOn w:val="1253"/>
    <w:uiPriority w:val="99"/>
    <w:pPr>
      <w:pBdr/>
      <w:spacing/>
      <w:ind/>
    </w:pPr>
    <w:tblPr>
      <w:tblStyleRowBandSize w:val="1"/>
      <w:tblStyleColBandSize w:val="1"/>
      <w:tblCellMar>
        <w:left w:w="108" w:type="dxa"/>
        <w:top w:w="0" w:type="dxa"/>
        <w:right w:w="108" w:type="dxa"/>
        <w:bottom w:w="0" w:type="dxa"/>
      </w:tblCellMar>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sz w:val="22"/>
      </w:rPr>
      <w:pPr>
        <w:pBdr/>
        <w:spacing/>
        <w:ind/>
      </w:pPr>
      <w:tblPr>
        <w:tblBorders/>
      </w:tblPr>
      <w:tcPr>
        <w:tcBorders>
          <w:top w:val="single" w:color="ffc000" w:themeColor="accent4" w:sz="4" w:space="0"/>
          <w:bottom w:val="single" w:color="ffc000" w:themeColor="accent4" w:sz="4" w:space="0"/>
        </w:tcBorders>
      </w:tcPr>
    </w:tblStylePr>
    <w:tblStylePr w:type="band1Vert">
      <w:rPr>
        <w:sz w:val="22"/>
      </w:rPr>
      <w:pPr>
        <w:pBdr/>
        <w:spacing/>
        <w:ind/>
      </w:pPr>
      <w:tblPr>
        <w:tblBorders/>
      </w:tblPr>
      <w:tcPr>
        <w:tcBorders>
          <w:left w:val="single" w:color="ffc000" w:themeColor="accent4" w:sz="4" w:space="0"/>
          <w:right w:val="single" w:color="ffc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d865" w:fill="ffd8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9" w:customStyle="1">
    <w:name w:val="List Table 3 - Accent 5"/>
    <w:basedOn w:val="1253"/>
    <w:uiPriority w:val="99"/>
    <w:pPr>
      <w:pBdr/>
      <w:spacing/>
      <w:ind/>
    </w:pPr>
    <w:tblPr>
      <w:tblStyleRowBandSize w:val="1"/>
      <w:tblStyleColBandSize w:val="1"/>
      <w:tblCellMar>
        <w:left w:w="108" w:type="dxa"/>
        <w:top w:w="0" w:type="dxa"/>
        <w:right w:w="108" w:type="dxa"/>
        <w:bottom w:w="0" w:type="dxa"/>
      </w:tblCellMar>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sz w:val="22"/>
      </w:rPr>
      <w:pPr>
        <w:pBdr/>
        <w:spacing/>
        <w:ind/>
      </w:pPr>
      <w:tblPr>
        <w:tblBorders/>
      </w:tblPr>
      <w:tcPr>
        <w:tcBorders>
          <w:top w:val="single" w:color="4472c4" w:themeColor="accent5" w:sz="4" w:space="0"/>
          <w:bottom w:val="single" w:color="4472c4" w:themeColor="accent5" w:sz="4" w:space="0"/>
        </w:tcBorders>
      </w:tcPr>
    </w:tblStylePr>
    <w:tblStylePr w:type="band1Vert">
      <w:rPr>
        <w:sz w:val="22"/>
      </w:rPr>
      <w:pPr>
        <w:pBdr/>
        <w:spacing/>
        <w:ind/>
      </w:pPr>
      <w:tblPr>
        <w:tblBorders/>
      </w:tblPr>
      <w:tcPr>
        <w:tcBorders>
          <w:left w:val="single" w:color="4472c4" w:themeColor="accent5" w:sz="4" w:space="0"/>
          <w:right w:val="single" w:color="4472c4"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8da9db" w:fill="8da9db"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0" w:customStyle="1">
    <w:name w:val="List Table 3 - Accent 6"/>
    <w:basedOn w:val="1253"/>
    <w:uiPriority w:val="99"/>
    <w:pPr>
      <w:pBdr/>
      <w:spacing/>
      <w:ind/>
    </w:pPr>
    <w:tblPr>
      <w:tblStyleRowBandSize w:val="1"/>
      <w:tblStyleColBandSize w:val="1"/>
      <w:tblCellMar>
        <w:left w:w="108" w:type="dxa"/>
        <w:top w:w="0" w:type="dxa"/>
        <w:right w:w="108" w:type="dxa"/>
        <w:bottom w:w="0" w:type="dxa"/>
      </w:tblCellMa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sz w:val="22"/>
      </w:rPr>
      <w:pPr>
        <w:pBdr/>
        <w:spacing/>
        <w:ind/>
      </w:pPr>
      <w:tblPr>
        <w:tblBorders/>
      </w:tblPr>
      <w:tcPr>
        <w:tcBorders>
          <w:top w:val="single" w:color="70ad47" w:themeColor="accent6" w:sz="4" w:space="0"/>
          <w:bottom w:val="single" w:color="70ad47" w:themeColor="accent6" w:sz="4" w:space="0"/>
        </w:tcBorders>
      </w:tcPr>
    </w:tblStylePr>
    <w:tblStylePr w:type="band1Vert">
      <w:rPr>
        <w:sz w:val="22"/>
      </w:rPr>
      <w:pPr>
        <w:pBdr/>
        <w:spacing/>
        <w:ind/>
      </w:pPr>
      <w:tblPr>
        <w:tblBorders/>
      </w:tblPr>
      <w:tcPr>
        <w:tcBorders>
          <w:left w:val="single" w:color="70ad47" w:themeColor="accent6" w:sz="4" w:space="0"/>
          <w:right w:val="single" w:color="70ad47"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a9d08e" w:fill="a9d08e"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1">
    <w:name w:val="List Table 4"/>
    <w:basedOn w:val="1253"/>
    <w:uiPriority w:val="99"/>
    <w:pPr>
      <w:pBdr/>
      <w:spacing/>
      <w:ind/>
    </w:pPr>
    <w:tblPr>
      <w:tblStyleRowBandSize w:val="1"/>
      <w:tblStyleColBandSize w:val="1"/>
      <w:tblCellMar>
        <w:left w:w="108" w:type="dxa"/>
        <w:top w:w="0" w:type="dxa"/>
        <w:right w:w="108" w:type="dxa"/>
        <w:bottom w:w="0" w:type="dxa"/>
      </w:tblCellMa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bfbfbf" w:fill="bfbfbf" w:themeFill="text1" w:themeFillTint="40"/>
        <w:tcBorders/>
      </w:tcPr>
    </w:tblStylePr>
    <w:tblStylePr w:type="band1Vert">
      <w:rPr>
        <w:sz w:val="22"/>
      </w:rPr>
      <w:pPr>
        <w:pBdr/>
        <w:spacing/>
        <w:ind/>
      </w:pPr>
      <w:tblPr>
        <w:tblBorders/>
      </w:tblPr>
      <w:tcPr>
        <w:shd w:val="clear" w:color="bfbfb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2" w:customStyle="1">
    <w:name w:val="List Table 4 - Accent 1"/>
    <w:basedOn w:val="1253"/>
    <w:uiPriority w:val="99"/>
    <w:pPr>
      <w:pBdr/>
      <w:spacing/>
      <w:ind/>
    </w:pPr>
    <w:tblPr>
      <w:tblStyleRowBandSize w:val="1"/>
      <w:tblStyleColBandSize w:val="1"/>
      <w:tblCellMar>
        <w:left w:w="108" w:type="dxa"/>
        <w:top w:w="0" w:type="dxa"/>
        <w:right w:w="108" w:type="dxa"/>
        <w:bottom w:w="0" w:type="dxa"/>
      </w:tblCellMa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sz w:val="22"/>
      </w:rPr>
      <w:pPr>
        <w:pBdr/>
        <w:spacing/>
        <w:ind/>
      </w:pPr>
      <w:tblPr>
        <w:tblBorders/>
      </w:tblPr>
      <w:tcPr>
        <w:shd w:val="clear" w:color="d5e5f4" w:fill="d5e5f4" w:themeFill="accent1" w:themeFillTint="40"/>
        <w:tcBorders/>
      </w:tcPr>
    </w:tblStylePr>
    <w:tblStylePr w:type="band1Vert">
      <w:rPr>
        <w:sz w:val="22"/>
      </w:rPr>
      <w:pPr>
        <w:pBdr/>
        <w:spacing/>
        <w:ind/>
      </w:pPr>
      <w:tblPr>
        <w:tblBorders/>
      </w:tblPr>
      <w:tcPr>
        <w:shd w:val="clear" w:color="d5e5f4"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5b9bd5" w:fill="5b9bd5"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3" w:customStyle="1">
    <w:name w:val="List Table 4 - Accent 2"/>
    <w:basedOn w:val="1253"/>
    <w:uiPriority w:val="99"/>
    <w:pPr>
      <w:pBdr/>
      <w:spacing/>
      <w:ind/>
    </w:pPr>
    <w:tblPr>
      <w:tblStyleRowBandSize w:val="1"/>
      <w:tblStyleColBandSize w:val="1"/>
      <w:tblCellMar>
        <w:left w:w="108" w:type="dxa"/>
        <w:top w:w="0" w:type="dxa"/>
        <w:right w:w="108" w:type="dxa"/>
        <w:bottom w:w="0" w:type="dxa"/>
      </w:tblCellMa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sz w:val="22"/>
      </w:rPr>
      <w:pPr>
        <w:pBdr/>
        <w:spacing/>
        <w:ind/>
      </w:pPr>
      <w:tblPr>
        <w:tblBorders/>
      </w:tblPr>
      <w:tcPr>
        <w:shd w:val="clear" w:color="fadecb" w:fill="fadecb" w:themeFill="accent2" w:themeFillTint="40"/>
        <w:tcBorders/>
      </w:tcPr>
    </w:tblStylePr>
    <w:tblStylePr w:type="band1Vert">
      <w:rPr>
        <w:sz w:val="22"/>
      </w:rPr>
      <w:pPr>
        <w:pBdr/>
        <w:spacing/>
        <w:ind/>
      </w:pPr>
      <w:tblPr>
        <w:tblBorders/>
      </w:tblPr>
      <w:tcPr>
        <w:shd w:val="clear" w:color="fadecb"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ed7d31"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4" w:customStyle="1">
    <w:name w:val="List Table 4 - Accent 3"/>
    <w:basedOn w:val="1253"/>
    <w:uiPriority w:val="99"/>
    <w:pPr>
      <w:pBdr/>
      <w:spacing/>
      <w:ind/>
    </w:pPr>
    <w:tblPr>
      <w:tblStyleRowBandSize w:val="1"/>
      <w:tblStyleColBandSize w:val="1"/>
      <w:tblCellMar>
        <w:left w:w="108" w:type="dxa"/>
        <w:top w:w="0" w:type="dxa"/>
        <w:right w:w="108" w:type="dxa"/>
        <w:bottom w:w="0" w:type="dxa"/>
      </w:tblCellMa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sz w:val="22"/>
      </w:rPr>
      <w:pPr>
        <w:pBdr/>
        <w:spacing/>
        <w:ind/>
      </w:pPr>
      <w:tblPr>
        <w:tblBorders/>
      </w:tblPr>
      <w:tcPr>
        <w:shd w:val="clear" w:color="e8e8e8" w:fill="e8e8e8" w:themeFill="accent3" w:themeFillTint="40"/>
        <w:tcBorders/>
      </w:tcPr>
    </w:tblStylePr>
    <w:tblStylePr w:type="band1Vert">
      <w:rPr>
        <w:sz w:val="22"/>
      </w:rPr>
      <w:pPr>
        <w:pBdr/>
        <w:spacing/>
        <w:ind/>
      </w:pPr>
      <w:tblPr>
        <w:tblBorders/>
      </w:tblPr>
      <w:tcPr>
        <w:shd w:val="clear" w:color="e8e8e8"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a5a5a5"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5" w:customStyle="1">
    <w:name w:val="List Table 4 - Accent 4"/>
    <w:basedOn w:val="1253"/>
    <w:uiPriority w:val="99"/>
    <w:pPr>
      <w:pBdr/>
      <w:spacing/>
      <w:ind/>
    </w:pPr>
    <w:tblPr>
      <w:tblStyleRowBandSize w:val="1"/>
      <w:tblStyleColBandSize w:val="1"/>
      <w:tblCellMar>
        <w:left w:w="108" w:type="dxa"/>
        <w:top w:w="0" w:type="dxa"/>
        <w:right w:w="108" w:type="dxa"/>
        <w:bottom w:w="0" w:type="dxa"/>
      </w:tblCellMar>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sz w:val="22"/>
      </w:rPr>
      <w:pPr>
        <w:pBdr/>
        <w:spacing/>
        <w:ind/>
      </w:pPr>
      <w:tblPr>
        <w:tblBorders/>
      </w:tblPr>
      <w:tcPr>
        <w:shd w:val="clear" w:color="ffefbf" w:fill="ffefbf" w:themeFill="accent4" w:themeFillTint="40"/>
        <w:tcBorders/>
      </w:tcPr>
    </w:tblStylePr>
    <w:tblStylePr w:type="band1Vert">
      <w:rPr>
        <w:sz w:val="22"/>
      </w:rPr>
      <w:pPr>
        <w:pBdr/>
        <w:spacing/>
        <w:ind/>
      </w:pPr>
      <w:tblPr>
        <w:tblBorders/>
      </w:tblPr>
      <w:tcPr>
        <w:shd w:val="clear" w:color="ffefb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c000"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6" w:customStyle="1">
    <w:name w:val="List Table 4 - Accent 5"/>
    <w:basedOn w:val="1253"/>
    <w:uiPriority w:val="99"/>
    <w:pPr>
      <w:pBdr/>
      <w:spacing/>
      <w:ind/>
    </w:pPr>
    <w:tblPr>
      <w:tblStyleRowBandSize w:val="1"/>
      <w:tblStyleColBandSize w:val="1"/>
      <w:tblCellMar>
        <w:left w:w="108" w:type="dxa"/>
        <w:top w:w="0" w:type="dxa"/>
        <w:right w:w="108" w:type="dxa"/>
        <w:bottom w:w="0" w:type="dxa"/>
      </w:tblCellMa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sz w:val="22"/>
      </w:rPr>
      <w:pPr>
        <w:pBdr/>
        <w:spacing/>
        <w:ind/>
      </w:pPr>
      <w:tblPr>
        <w:tblBorders/>
      </w:tblPr>
      <w:tcPr>
        <w:shd w:val="clear" w:color="cfdbf0" w:fill="cfdbf0" w:themeFill="accent5" w:themeFillTint="40"/>
        <w:tcBorders/>
      </w:tcPr>
    </w:tblStylePr>
    <w:tblStylePr w:type="band1Vert">
      <w:rPr>
        <w:sz w:val="22"/>
      </w:rPr>
      <w:pPr>
        <w:pBdr/>
        <w:spacing/>
        <w:ind/>
      </w:pPr>
      <w:tblPr>
        <w:tblBorders/>
      </w:tblPr>
      <w:tcPr>
        <w:shd w:val="clear" w:color="cfdbf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472c4" w:fill="4472c4"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7" w:customStyle="1">
    <w:name w:val="List Table 4 - Accent 6"/>
    <w:basedOn w:val="1253"/>
    <w:uiPriority w:val="99"/>
    <w:pPr>
      <w:pBdr/>
      <w:spacing/>
      <w:ind/>
    </w:pPr>
    <w:tblPr>
      <w:tblStyleRowBandSize w:val="1"/>
      <w:tblStyleColBandSize w:val="1"/>
      <w:tblCellMar>
        <w:left w:w="108" w:type="dxa"/>
        <w:top w:w="0" w:type="dxa"/>
        <w:right w:w="108" w:type="dxa"/>
        <w:bottom w:w="0" w:type="dxa"/>
      </w:tblCellMa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sz w:val="22"/>
      </w:rPr>
      <w:pPr>
        <w:pBdr/>
        <w:spacing/>
        <w:ind/>
      </w:pPr>
      <w:tblPr>
        <w:tblBorders/>
      </w:tblPr>
      <w:tcPr>
        <w:shd w:val="clear" w:color="daebcf" w:fill="daebcf" w:themeFill="accent6" w:themeFillTint="40"/>
        <w:tcBorders/>
      </w:tcPr>
    </w:tblStylePr>
    <w:tblStylePr w:type="band1Vert">
      <w:rPr>
        <w:sz w:val="22"/>
      </w:rPr>
      <w:pPr>
        <w:pBdr/>
        <w:spacing/>
        <w:ind/>
      </w:pPr>
      <w:tblPr>
        <w:tblBorders/>
      </w:tblPr>
      <w:tcPr>
        <w:shd w:val="clear" w:color="daebcf"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70ad47"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8">
    <w:name w:val="List Table 5 Dark"/>
    <w:basedOn w:val="1253"/>
    <w:uiPriority w:val="99"/>
    <w:pPr>
      <w:pBdr/>
      <w:spacing/>
      <w:ind/>
    </w:pPr>
    <w:tblPr>
      <w:tblStyleRowBandSize w:val="1"/>
      <w:tblStyleColBandSize w:val="1"/>
      <w:tblCellMar>
        <w:left w:w="108" w:type="dxa"/>
        <w:top w:w="0" w:type="dxa"/>
        <w:right w:w="108" w:type="dxa"/>
        <w:bottom w:w="0" w:type="dxa"/>
      </w:tblCellMar>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cPr>
      <w:tcBorders/>
    </w:tcPr>
    <w:tblStylePr w:type="band1Horz">
      <w:pPr>
        <w:pBdr/>
        <w:spacing/>
        <w:ind/>
      </w:pPr>
      <w:tblPr>
        <w:tblBorders/>
      </w:tblPr>
      <w:tcPr>
        <w:shd w:val="clear" w:color="7f7f7f"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ffffff" w:themeColor="light1" w:sz="4" w:space="0"/>
        </w:tcBorders>
      </w:tcPr>
    </w:tblStylePr>
    <w:tblStylePr w:type="firstRow">
      <w:rPr>
        <w:b/>
        <w:color w:val="ffffff" w:themeColor="light1"/>
        <w:sz w:val="22"/>
      </w:rPr>
      <w:pPr>
        <w:pBdr/>
        <w:spacing/>
        <w:ind/>
      </w:pPr>
      <w:tblPr>
        <w:tblBorders/>
      </w:tblPr>
      <w:tcPr>
        <w:shd w:val="clear" w:color="7f7f7f" w:fill="7f7f7f" w:themeFill="text1" w:themeFillTint="80"/>
        <w:tcBorders>
          <w:top w:val="single" w:color="000000" w:themeColor="tex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9" w:customStyle="1">
    <w:name w:val="List Table 5 Dark - Accent 1"/>
    <w:basedOn w:val="1253"/>
    <w:uiPriority w:val="99"/>
    <w:pPr>
      <w:pBdr/>
      <w:spacing/>
      <w:ind/>
    </w:pPr>
    <w:tblPr>
      <w:tblStyleRowBandSize w:val="1"/>
      <w:tblStyleColBandSize w:val="1"/>
      <w:tblCellMar>
        <w:left w:w="108" w:type="dxa"/>
        <w:top w:w="0" w:type="dxa"/>
        <w:right w:w="108" w:type="dxa"/>
        <w:bottom w:w="0" w:type="dxa"/>
      </w:tblCellMa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cPr>
      <w:tcBorders/>
    </w:tcPr>
    <w:tblStylePr w:type="band1Horz">
      <w:pPr>
        <w:pBdr/>
        <w:spacing/>
        <w:ind/>
      </w:pPr>
      <w:tblPr>
        <w:tblBorders/>
      </w:tblPr>
      <w:tcPr>
        <w:shd w:val="clear" w:color="5b9bd5"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b/>
        <w:color w:val="ffffff" w:themeColor="light1"/>
        <w:sz w:val="22"/>
      </w:rPr>
      <w:pPr>
        <w:pBdr/>
        <w:spacing/>
        <w:ind/>
      </w:pPr>
      <w:tblPr>
        <w:tblBorders/>
      </w:tblPr>
      <w:tcPr>
        <w:shd w:val="clear" w:color="5b9bd5"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0" w:customStyle="1">
    <w:name w:val="List Table 5 Dark - Accent 2"/>
    <w:basedOn w:val="1253"/>
    <w:uiPriority w:val="99"/>
    <w:pPr>
      <w:pBdr/>
      <w:spacing/>
      <w:ind/>
    </w:pPr>
    <w:tblPr>
      <w:tblStyleRowBandSize w:val="1"/>
      <w:tblStyleColBandSize w:val="1"/>
      <w:tblCellMar>
        <w:left w:w="108" w:type="dxa"/>
        <w:top w:w="0" w:type="dxa"/>
        <w:right w:w="108" w:type="dxa"/>
        <w:bottom w:w="0" w:type="dxa"/>
      </w:tblCellMar>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cPr>
      <w:tcBorders/>
    </w:tcPr>
    <w:tblStylePr w:type="band1Horz">
      <w:pPr>
        <w:pBdr/>
        <w:spacing/>
        <w:ind/>
      </w:pPr>
      <w:tblPr>
        <w:tblBorders/>
      </w:tblPr>
      <w:tcPr>
        <w:shd w:val="clear" w:color="f4b184"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ed7d31" w:themeColor="accent2" w:sz="32" w:space="0"/>
          <w:right w:val="single" w:color="ffffff" w:themeColor="light1" w:sz="4" w:space="0"/>
        </w:tcBorders>
      </w:tcPr>
    </w:tblStylePr>
    <w:tblStylePr w:type="firstRow">
      <w:rPr>
        <w:b/>
        <w:color w:val="ffffff" w:themeColor="light1"/>
        <w:sz w:val="22"/>
      </w:rPr>
      <w:pPr>
        <w:pBdr/>
        <w:spacing/>
        <w:ind/>
      </w:pPr>
      <w:tblPr>
        <w:tblBorders/>
      </w:tblPr>
      <w:tcPr>
        <w:shd w:val="clear" w:color="f4b184" w:fill="f4b184" w:themeFill="accent2" w:themeFillTint="97"/>
        <w:tcBorders>
          <w:top w:val="single" w:color="ed7d31" w:themeColor="accent2"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ed7d31"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1" w:customStyle="1">
    <w:name w:val="List Table 5 Dark - Accent 3"/>
    <w:basedOn w:val="1253"/>
    <w:uiPriority w:val="99"/>
    <w:pPr>
      <w:pBdr/>
      <w:spacing/>
      <w:ind/>
    </w:pPr>
    <w:tblPr>
      <w:tblStyleRowBandSize w:val="1"/>
      <w:tblStyleColBandSize w:val="1"/>
      <w:tblCellMar>
        <w:left w:w="108" w:type="dxa"/>
        <w:top w:w="0" w:type="dxa"/>
        <w:right w:w="108" w:type="dxa"/>
        <w:bottom w:w="0" w:type="dxa"/>
      </w:tblCellMa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cPr>
      <w:tcBorders/>
    </w:tcPr>
    <w:tblStylePr w:type="band1Horz">
      <w:pPr>
        <w:pBdr/>
        <w:spacing/>
        <w:ind/>
      </w:pPr>
      <w:tblPr>
        <w:tblBorders/>
      </w:tblPr>
      <w:tcPr>
        <w:shd w:val="clear" w:color="c9c9c9"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a5a5a5" w:themeColor="accent3" w:sz="32" w:space="0"/>
          <w:right w:val="single" w:color="ffffff" w:themeColor="light1" w:sz="4" w:space="0"/>
        </w:tcBorders>
      </w:tcPr>
    </w:tblStylePr>
    <w:tblStylePr w:type="firstRow">
      <w:rPr>
        <w:b/>
        <w:color w:val="ffffff" w:themeColor="light1"/>
        <w:sz w:val="22"/>
      </w:rPr>
      <w:pPr>
        <w:pBdr/>
        <w:spacing/>
        <w:ind/>
      </w:pPr>
      <w:tblPr>
        <w:tblBorders/>
      </w:tblPr>
      <w:tcPr>
        <w:shd w:val="clear" w:color="c9c9c9" w:fill="c9c9c9" w:themeFill="accent3" w:themeFillTint="98"/>
        <w:tcBorders>
          <w:top w:val="single" w:color="a5a5a5" w:themeColor="accent3"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5a5a5"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2" w:customStyle="1">
    <w:name w:val="List Table 5 Dark - Accent 4"/>
    <w:basedOn w:val="1253"/>
    <w:uiPriority w:val="99"/>
    <w:pPr>
      <w:pBdr/>
      <w:spacing/>
      <w:ind/>
    </w:pPr>
    <w:tblPr>
      <w:tblStyleRowBandSize w:val="1"/>
      <w:tblStyleColBandSize w:val="1"/>
      <w:tblCellMar>
        <w:left w:w="108" w:type="dxa"/>
        <w:top w:w="0" w:type="dxa"/>
        <w:right w:w="108" w:type="dxa"/>
        <w:bottom w:w="0" w:type="dxa"/>
      </w:tblCellMar>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cPr>
      <w:tcBorders/>
    </w:tcPr>
    <w:tblStylePr w:type="band1Horz">
      <w:pPr>
        <w:pBdr/>
        <w:spacing/>
        <w:ind/>
      </w:pPr>
      <w:tblPr>
        <w:tblBorders/>
      </w:tblPr>
      <w:tcPr>
        <w:shd w:val="clear" w:color="ffd865"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ffc000" w:themeColor="accent4" w:sz="32" w:space="0"/>
          <w:right w:val="single" w:color="ffffff" w:themeColor="light1" w:sz="4" w:space="0"/>
        </w:tcBorders>
      </w:tcPr>
    </w:tblStylePr>
    <w:tblStylePr w:type="firstRow">
      <w:rPr>
        <w:b/>
        <w:color w:val="ffffff" w:themeColor="light1"/>
        <w:sz w:val="22"/>
      </w:rPr>
      <w:pPr>
        <w:pBdr/>
        <w:spacing/>
        <w:ind/>
      </w:pPr>
      <w:tblPr>
        <w:tblBorders/>
      </w:tblPr>
      <w:tcPr>
        <w:shd w:val="clear" w:color="ffd865" w:fill="ffd865" w:themeFill="accent4" w:themeFillTint="9A"/>
        <w:tcBorders>
          <w:top w:val="single" w:color="ffc000" w:themeColor="accent4"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c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3" w:customStyle="1">
    <w:name w:val="List Table 5 Dark - Accent 5"/>
    <w:basedOn w:val="1253"/>
    <w:uiPriority w:val="99"/>
    <w:pPr>
      <w:pBdr/>
      <w:spacing/>
      <w:ind/>
    </w:pPr>
    <w:tblPr>
      <w:tblStyleRowBandSize w:val="1"/>
      <w:tblStyleColBandSize w:val="1"/>
      <w:tblCellMar>
        <w:left w:w="108" w:type="dxa"/>
        <w:top w:w="0" w:type="dxa"/>
        <w:right w:w="108" w:type="dxa"/>
        <w:bottom w:w="0" w:type="dxa"/>
      </w:tblCellMar>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Pr>
    <w:tcPr>
      <w:tcBorders/>
    </w:tcPr>
    <w:tblStylePr w:type="band1Horz">
      <w:pPr>
        <w:pBdr/>
        <w:spacing/>
        <w:ind/>
      </w:pPr>
      <w:tblPr>
        <w:tblBorders/>
      </w:tblPr>
      <w:tcPr>
        <w:shd w:val="clear" w:color="8da9db"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4472c4" w:themeColor="accent5" w:sz="32" w:space="0"/>
          <w:right w:val="single" w:color="ffffff" w:themeColor="light1" w:sz="4" w:space="0"/>
        </w:tcBorders>
      </w:tcPr>
    </w:tblStylePr>
    <w:tblStylePr w:type="firstRow">
      <w:rPr>
        <w:b/>
        <w:color w:val="ffffff" w:themeColor="light1"/>
        <w:sz w:val="22"/>
      </w:rPr>
      <w:pPr>
        <w:pBdr/>
        <w:spacing/>
        <w:ind/>
      </w:pPr>
      <w:tblPr>
        <w:tblBorders/>
      </w:tblPr>
      <w:tcPr>
        <w:shd w:val="clear" w:color="8da9db" w:fill="8da9db" w:themeFill="accent5" w:themeFillTint="9A"/>
        <w:tcBorders>
          <w:top w:val="single" w:color="4472c4" w:themeColor="accent5"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4" w:customStyle="1">
    <w:name w:val="List Table 5 Dark - Accent 6"/>
    <w:basedOn w:val="1253"/>
    <w:uiPriority w:val="99"/>
    <w:pPr>
      <w:pBdr/>
      <w:spacing/>
      <w:ind/>
    </w:pPr>
    <w:tblPr>
      <w:tblStyleRowBandSize w:val="1"/>
      <w:tblStyleColBandSize w:val="1"/>
      <w:tblCellMar>
        <w:left w:w="108" w:type="dxa"/>
        <w:top w:w="0" w:type="dxa"/>
        <w:right w:w="108" w:type="dxa"/>
        <w:bottom w:w="0" w:type="dxa"/>
      </w:tblCellMa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cPr>
      <w:tcBorders/>
    </w:tcPr>
    <w:tblStylePr w:type="band1Horz">
      <w:pPr>
        <w:pBdr/>
        <w:spacing/>
        <w:ind/>
      </w:pPr>
      <w:tblPr>
        <w:tblBorders/>
      </w:tblPr>
      <w:tcPr>
        <w:shd w:val="clear" w:color="a9d08e"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70ad47" w:themeColor="accent6" w:sz="32" w:space="0"/>
          <w:right w:val="single" w:color="ffffff" w:themeColor="light1" w:sz="4" w:space="0"/>
        </w:tcBorders>
      </w:tcPr>
    </w:tblStylePr>
    <w:tblStylePr w:type="firstRow">
      <w:rPr>
        <w:b/>
        <w:color w:val="ffffff" w:themeColor="light1"/>
        <w:sz w:val="22"/>
      </w:rPr>
      <w:pPr>
        <w:pBdr/>
        <w:spacing/>
        <w:ind/>
      </w:pPr>
      <w:tblPr>
        <w:tblBorders/>
      </w:tblPr>
      <w:tcPr>
        <w:shd w:val="clear" w:color="a9d08e" w:fill="a9d08e" w:themeFill="accent6" w:themeFillTint="98"/>
        <w:tcBorders>
          <w:top w:val="single" w:color="70ad47" w:themeColor="accent6"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0ad47"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5">
    <w:name w:val="List Table 6 Colorful"/>
    <w:basedOn w:val="1253"/>
    <w:uiPriority w:val="99"/>
    <w:pPr>
      <w:pBdr/>
      <w:spacing/>
      <w:ind/>
    </w:pPr>
    <w:tblPr>
      <w:tblStyleRowBandSize w:val="1"/>
      <w:tblStyleColBandSize w:val="1"/>
      <w:tblCellMar>
        <w:left w:w="108" w:type="dxa"/>
        <w:top w:w="0" w:type="dxa"/>
        <w:right w:w="108" w:type="dxa"/>
        <w:bottom w:w="0" w:type="dxa"/>
      </w:tblCellMar>
      <w:tblBorders>
        <w:top w:val="single" w:color="7f7f7f" w:themeColor="text1" w:themeTint="80" w:sz="4" w:space="0"/>
        <w:bottom w:val="single" w:color="7f7f7f" w:themeColor="text1" w:themeTint="80" w:sz="4" w:space="0"/>
      </w:tblBorders>
    </w:tblPr>
    <w:tcPr>
      <w:tcBorders/>
    </w:tcPr>
    <w:tblStylePr w:type="band1Horz">
      <w:rPr>
        <w:color w:val="000000" w:themeColor="text1"/>
        <w:sz w:val="22"/>
      </w:rPr>
      <w:pPr>
        <w:pBdr/>
        <w:spacing/>
        <w:ind/>
      </w:pPr>
      <w:tblPr>
        <w:tblBorders/>
      </w:tblPr>
      <w:tcPr>
        <w:shd w:val="clear" w:color="bfbfbf" w:fill="bfbfbf" w:themeFill="text1" w:themeFillTint="40"/>
        <w:tcBorders/>
      </w:tcPr>
    </w:tblStylePr>
    <w:tblStylePr w:type="band1Vert">
      <w:pPr>
        <w:pBdr/>
        <w:spacing/>
        <w:ind/>
      </w:pPr>
      <w:tblPr>
        <w:tblBorders/>
      </w:tblPr>
      <w:tcPr>
        <w:shd w:val="clear" w:color="bfbfb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6" w:customStyle="1">
    <w:name w:val="List Table 6 Colorful - Accent 1"/>
    <w:basedOn w:val="1253"/>
    <w:uiPriority w:val="99"/>
    <w:pPr>
      <w:pBdr/>
      <w:spacing/>
      <w:ind/>
    </w:pPr>
    <w:tblPr>
      <w:tblStyleRowBandSize w:val="1"/>
      <w:tblStyleColBandSize w:val="1"/>
      <w:tblCellMar>
        <w:left w:w="108" w:type="dxa"/>
        <w:top w:w="0" w:type="dxa"/>
        <w:right w:w="108" w:type="dxa"/>
        <w:bottom w:w="0" w:type="dxa"/>
      </w:tblCellMar>
      <w:tblBorders>
        <w:top w:val="single" w:color="5b9bd5" w:themeColor="accent1" w:sz="4" w:space="0"/>
        <w:bottom w:val="single" w:color="5b9bd5" w:themeColor="accent1" w:sz="4" w:space="0"/>
      </w:tblBorders>
    </w:tblPr>
    <w:tcPr>
      <w:tcBorders/>
    </w:tcPr>
    <w:tblStylePr w:type="band1Horz">
      <w:rPr>
        <w:color w:val="245b8d" w:themeColor="accent1" w:themeShade="95"/>
        <w:sz w:val="22"/>
      </w:rPr>
      <w:pPr>
        <w:pBdr/>
        <w:spacing/>
        <w:ind/>
      </w:pPr>
      <w:tblPr>
        <w:tblBorders/>
      </w:tblPr>
      <w:tcPr>
        <w:shd w:val="clear" w:color="d5e5f4" w:fill="d5e5f4" w:themeFill="accent1" w:themeFillTint="40"/>
        <w:tcBorders/>
      </w:tcPr>
    </w:tblStylePr>
    <w:tblStylePr w:type="band1Vert">
      <w:pPr>
        <w:pBdr/>
        <w:spacing/>
        <w:ind/>
      </w:pPr>
      <w:tblPr>
        <w:tblBorders/>
      </w:tblPr>
      <w:tcPr>
        <w:shd w:val="clear" w:color="d5e5f4" w:fill="d5e5f4" w:themeFill="accent1" w:themeFillTint="40"/>
        <w:tcBorders/>
      </w:tcPr>
    </w:tblStylePr>
    <w:tblStylePr w:type="band2Horz">
      <w:rPr>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5b9bd5"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7" w:customStyle="1">
    <w:name w:val="List Table 6 Colorful - Accent 2"/>
    <w:basedOn w:val="1253"/>
    <w:uiPriority w:val="99"/>
    <w:pPr>
      <w:pBdr/>
      <w:spacing/>
      <w:ind/>
    </w:pPr>
    <w:tblPr>
      <w:tblStyleRowBandSize w:val="1"/>
      <w:tblStyleColBandSize w:val="1"/>
      <w:tblCellMar>
        <w:left w:w="108" w:type="dxa"/>
        <w:top w:w="0" w:type="dxa"/>
        <w:right w:w="108" w:type="dxa"/>
        <w:bottom w:w="0" w:type="dxa"/>
      </w:tblCellMar>
      <w:tblBorders>
        <w:top w:val="single" w:color="f4b184" w:themeColor="accent2" w:themeTint="97" w:sz="4" w:space="0"/>
        <w:bottom w:val="single" w:color="f4b184" w:themeColor="accent2" w:themeTint="97" w:sz="4" w:space="0"/>
      </w:tblBorders>
    </w:tblPr>
    <w:tcPr>
      <w:tcBorders/>
    </w:tcPr>
    <w:tblStylePr w:type="band1Horz">
      <w:rPr>
        <w:color w:val="ca5d12" w:themeColor="accent2" w:themeTint="97" w:themeShade="95"/>
        <w:sz w:val="22"/>
      </w:rPr>
      <w:pPr>
        <w:pBdr/>
        <w:spacing/>
        <w:ind/>
      </w:pPr>
      <w:tblPr>
        <w:tblBorders/>
      </w:tblPr>
      <w:tcPr>
        <w:shd w:val="clear" w:color="fadecb" w:fill="fadecb" w:themeFill="accent2" w:themeFillTint="40"/>
        <w:tcBorders/>
      </w:tcPr>
    </w:tblStylePr>
    <w:tblStylePr w:type="band1Vert">
      <w:pPr>
        <w:pBdr/>
        <w:spacing/>
        <w:ind/>
      </w:pPr>
      <w:tblPr>
        <w:tblBorders/>
      </w:tblPr>
      <w:tcPr>
        <w:shd w:val="clear" w:color="fadecb" w:fill="fadecb" w:themeFill="accent2" w:themeFillTint="40"/>
        <w:tcBorders/>
      </w:tcPr>
    </w:tblStylePr>
    <w:tblStylePr w:type="band2Horz">
      <w:rPr>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ed7d31" w:themeColor="accent2"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ed7d31"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8" w:customStyle="1">
    <w:name w:val="List Table 6 Colorful - Accent 3"/>
    <w:basedOn w:val="1253"/>
    <w:uiPriority w:val="99"/>
    <w:pPr>
      <w:pBdr/>
      <w:spacing/>
      <w:ind/>
    </w:pPr>
    <w:tblPr>
      <w:tblStyleRowBandSize w:val="1"/>
      <w:tblStyleColBandSize w:val="1"/>
      <w:tblCellMar>
        <w:left w:w="108" w:type="dxa"/>
        <w:top w:w="0" w:type="dxa"/>
        <w:right w:w="108" w:type="dxa"/>
        <w:bottom w:w="0" w:type="dxa"/>
      </w:tblCellMar>
      <w:tblBorders>
        <w:top w:val="single" w:color="c9c9c9" w:themeColor="accent3" w:themeTint="98" w:sz="4" w:space="0"/>
        <w:bottom w:val="single" w:color="c9c9c9" w:themeColor="accent3" w:themeTint="98" w:sz="4" w:space="0"/>
      </w:tblBorders>
    </w:tblPr>
    <w:tcPr>
      <w:tcBorders/>
    </w:tcPr>
    <w:tblStylePr w:type="band1Horz">
      <w:rPr>
        <w:color w:val="757575" w:themeColor="accent3" w:themeTint="98" w:themeShade="95"/>
        <w:sz w:val="22"/>
      </w:rPr>
      <w:pPr>
        <w:pBdr/>
        <w:spacing/>
        <w:ind/>
      </w:pPr>
      <w:tblPr>
        <w:tblBorders/>
      </w:tblPr>
      <w:tcPr>
        <w:shd w:val="clear" w:color="e8e8e8" w:fill="e8e8e8" w:themeFill="accent3" w:themeFillTint="40"/>
        <w:tcBorders/>
      </w:tcPr>
    </w:tblStylePr>
    <w:tblStylePr w:type="band1Vert">
      <w:pPr>
        <w:pBdr/>
        <w:spacing/>
        <w:ind/>
      </w:pPr>
      <w:tblPr>
        <w:tblBorders/>
      </w:tblPr>
      <w:tcPr>
        <w:shd w:val="clear" w:color="e8e8e8" w:fill="e8e8e8" w:themeFill="accent3" w:themeFillTint="40"/>
        <w:tcBorders/>
      </w:tcPr>
    </w:tblStylePr>
    <w:tblStylePr w:type="band2Horz">
      <w:rPr>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a5a5a5" w:themeColor="accent3"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a5a5a5"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9" w:customStyle="1">
    <w:name w:val="List Table 6 Colorful - Accent 4"/>
    <w:basedOn w:val="1253"/>
    <w:uiPriority w:val="99"/>
    <w:pPr>
      <w:pBdr/>
      <w:spacing/>
      <w:ind/>
    </w:pPr>
    <w:tblPr>
      <w:tblStyleRowBandSize w:val="1"/>
      <w:tblStyleColBandSize w:val="1"/>
      <w:tblCellMar>
        <w:left w:w="108" w:type="dxa"/>
        <w:top w:w="0" w:type="dxa"/>
        <w:right w:w="108" w:type="dxa"/>
        <w:bottom w:w="0" w:type="dxa"/>
      </w:tblCellMar>
      <w:tblBorders>
        <w:top w:val="single" w:color="ffd865" w:themeColor="accent4" w:themeTint="9A" w:sz="4" w:space="0"/>
        <w:bottom w:val="single" w:color="ffd865"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efbf" w:fill="ffefbf" w:themeFill="accent4" w:themeFillTint="40"/>
        <w:tcBorders/>
      </w:tcPr>
    </w:tblStylePr>
    <w:tblStylePr w:type="band1Vert">
      <w:pPr>
        <w:pBdr/>
        <w:spacing/>
        <w:ind/>
      </w:pPr>
      <w:tblPr>
        <w:tblBorders/>
      </w:tblPr>
      <w:tcPr>
        <w:shd w:val="clear" w:color="ffefb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ffc000" w:themeColor="accent4"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ffc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0" w:customStyle="1">
    <w:name w:val="List Table 6 Colorful - Accent 5"/>
    <w:basedOn w:val="1253"/>
    <w:uiPriority w:val="99"/>
    <w:pPr>
      <w:pBdr/>
      <w:spacing/>
      <w:ind/>
    </w:pPr>
    <w:tblPr>
      <w:tblStyleRowBandSize w:val="1"/>
      <w:tblStyleColBandSize w:val="1"/>
      <w:tblCellMar>
        <w:left w:w="108" w:type="dxa"/>
        <w:top w:w="0" w:type="dxa"/>
        <w:right w:w="108" w:type="dxa"/>
        <w:bottom w:w="0" w:type="dxa"/>
      </w:tblCellMar>
      <w:tblBorders>
        <w:top w:val="single" w:color="8da9db" w:themeColor="accent5" w:themeTint="9A" w:sz="4" w:space="0"/>
        <w:bottom w:val="single" w:color="8da9db" w:themeColor="accent5" w:themeTint="9A" w:sz="4" w:space="0"/>
      </w:tblBorders>
    </w:tblPr>
    <w:tcPr>
      <w:tcBorders/>
    </w:tcPr>
    <w:tblStylePr w:type="band1Horz">
      <w:rPr>
        <w:color w:val="335ba0" w:themeColor="accent5" w:themeTint="9A" w:themeShade="95"/>
        <w:sz w:val="22"/>
      </w:rPr>
      <w:pPr>
        <w:pBdr/>
        <w:spacing/>
        <w:ind/>
      </w:pPr>
      <w:tblPr>
        <w:tblBorders/>
      </w:tblPr>
      <w:tcPr>
        <w:shd w:val="clear" w:color="cfdbf0" w:fill="cfdbf0" w:themeFill="accent5" w:themeFillTint="40"/>
        <w:tcBorders/>
      </w:tcPr>
    </w:tblStylePr>
    <w:tblStylePr w:type="band1Vert">
      <w:pPr>
        <w:pBdr/>
        <w:spacing/>
        <w:ind/>
      </w:pPr>
      <w:tblPr>
        <w:tblBorders/>
      </w:tblPr>
      <w:tcPr>
        <w:shd w:val="clear" w:color="cfdbf0" w:fill="cfdbf0" w:themeFill="accent5" w:themeFillTint="40"/>
        <w:tcBorders/>
      </w:tcPr>
    </w:tblStylePr>
    <w:tblStylePr w:type="band2Horz">
      <w:rPr>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4472c4" w:themeColor="accent5"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1" w:customStyle="1">
    <w:name w:val="List Table 6 Colorful - Accent 6"/>
    <w:basedOn w:val="1253"/>
    <w:uiPriority w:val="99"/>
    <w:pPr>
      <w:pBdr/>
      <w:spacing/>
      <w:ind/>
    </w:pPr>
    <w:tblPr>
      <w:tblStyleRowBandSize w:val="1"/>
      <w:tblStyleColBandSize w:val="1"/>
      <w:tblCellMar>
        <w:left w:w="108" w:type="dxa"/>
        <w:top w:w="0" w:type="dxa"/>
        <w:right w:w="108" w:type="dxa"/>
        <w:bottom w:w="0" w:type="dxa"/>
      </w:tblCellMar>
      <w:tblBorders>
        <w:top w:val="single" w:color="a9d08e" w:themeColor="accent6" w:themeTint="98" w:sz="4" w:space="0"/>
        <w:bottom w:val="single" w:color="a9d08e"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daebcf" w:fill="daebcf" w:themeFill="accent6" w:themeFillTint="40"/>
        <w:tcBorders/>
      </w:tcPr>
    </w:tblStylePr>
    <w:tblStylePr w:type="band1Vert">
      <w:pPr>
        <w:pBdr/>
        <w:spacing/>
        <w:ind/>
      </w:pPr>
      <w:tblPr>
        <w:tblBorders/>
      </w:tblPr>
      <w:tcPr>
        <w:shd w:val="clear" w:color="daebcf" w:fill="daebcf"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70ad47" w:themeColor="accent6"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2">
    <w:name w:val="List Table 7 Colorful"/>
    <w:basedOn w:val="1253"/>
    <w:uiPriority w:val="99"/>
    <w:pPr>
      <w:pBdr/>
      <w:spacing/>
      <w:ind/>
    </w:pPr>
    <w:tblPr>
      <w:tblStyleRowBandSize w:val="1"/>
      <w:tblStyleColBandSize w:val="1"/>
      <w:tblCellMar>
        <w:left w:w="108" w:type="dxa"/>
        <w:top w:w="0" w:type="dxa"/>
        <w:right w:w="108" w:type="dxa"/>
        <w:bottom w:w="0" w:type="dxa"/>
      </w:tblCellMar>
      <w:tblBorders>
        <w:right w:val="single" w:color="7f7f7f" w:themeColor="text1" w:themeTint="80" w:sz="4" w:space="0"/>
      </w:tblBorders>
    </w:tblPr>
    <w:tcPr>
      <w:tcBorders/>
    </w:tcPr>
    <w:tblStylePr w:type="band1Horz">
      <w:rPr>
        <w:color w:val="4a4a4a" w:themeColor="text1" w:themeTint="80" w:themeShade="95"/>
        <w:sz w:val="22"/>
      </w:rPr>
      <w:pPr>
        <w:pBdr/>
        <w:spacing/>
        <w:ind/>
      </w:pPr>
      <w:tblPr>
        <w:tblBorders/>
      </w:tblPr>
      <w:tcPr>
        <w:shd w:val="clear" w:color="bfbfbf" w:fill="bfbfbf" w:themeFill="text1" w:themeFillTint="40"/>
        <w:tcBorders/>
      </w:tcPr>
    </w:tblStylePr>
    <w:tblStylePr w:type="band1Vert">
      <w:pPr>
        <w:pBdr/>
        <w:spacing/>
        <w:ind/>
      </w:pPr>
      <w:tblPr>
        <w:tblBorders/>
      </w:tblPr>
      <w:tcPr>
        <w:shd w:val="clear" w:color="bfbfb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fill="auto"/>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3" w:customStyle="1">
    <w:name w:val="List Table 7 Colorful - Accent 1"/>
    <w:basedOn w:val="1253"/>
    <w:uiPriority w:val="99"/>
    <w:pPr>
      <w:pBdr/>
      <w:spacing/>
      <w:ind/>
    </w:pPr>
    <w:tblPr>
      <w:tblStyleRowBandSize w:val="1"/>
      <w:tblStyleColBandSize w:val="1"/>
      <w:tblCellMar>
        <w:left w:w="108" w:type="dxa"/>
        <w:top w:w="0" w:type="dxa"/>
        <w:right w:w="108" w:type="dxa"/>
        <w:bottom w:w="0" w:type="dxa"/>
      </w:tblCellMar>
      <w:tblBorders>
        <w:right w:val="single" w:color="5b9bd5" w:themeColor="accent1" w:sz="4" w:space="0"/>
      </w:tblBorders>
    </w:tblPr>
    <w:tcPr>
      <w:tcBorders/>
    </w:tcPr>
    <w:tblStylePr w:type="band1Horz">
      <w:rPr>
        <w:color w:val="245b8d" w:themeColor="accent1" w:themeShade="95"/>
        <w:sz w:val="22"/>
      </w:rPr>
      <w:pPr>
        <w:pBdr/>
        <w:spacing/>
        <w:ind/>
      </w:pPr>
      <w:tblPr>
        <w:tblBorders/>
      </w:tblPr>
      <w:tcPr>
        <w:shd w:val="clear" w:color="d5e5f4" w:fill="d5e5f4" w:themeFill="accent1" w:themeFillTint="40"/>
        <w:tcBorders/>
      </w:tcPr>
    </w:tblStylePr>
    <w:tblStylePr w:type="band1Vert">
      <w:pPr>
        <w:pBdr/>
        <w:spacing/>
        <w:ind/>
      </w:pPr>
      <w:tblPr>
        <w:tblBorders/>
      </w:tblPr>
      <w:tcPr>
        <w:shd w:val="clear" w:color="d5e5f4" w:fill="d5e5f4" w:themeFill="accent1" w:themeFillTint="40"/>
        <w:tcBorders/>
      </w:tcPr>
    </w:tblStylePr>
    <w:tblStylePr w:type="band2Horz">
      <w:rPr>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b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i/>
        <w:color w:val="245b8d"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i/>
        <w:color w:val="245b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i/>
        <w:color w:val="245b8d" w:themeColor="accent1" w:themeShade="95"/>
        <w:sz w:val="22"/>
      </w:rPr>
      <w:pPr>
        <w:pBdr/>
        <w:spacing/>
        <w:ind/>
      </w:pPr>
      <w:tblPr>
        <w:tblBorders/>
      </w:tblPr>
      <w:tcPr>
        <w:shd w:val="clear" w:color="ffffff"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4" w:customStyle="1">
    <w:name w:val="List Table 7 Colorful - Accent 2"/>
    <w:basedOn w:val="1253"/>
    <w:uiPriority w:val="99"/>
    <w:pPr>
      <w:pBdr/>
      <w:spacing/>
      <w:ind/>
    </w:pPr>
    <w:tblPr>
      <w:tblStyleRowBandSize w:val="1"/>
      <w:tblStyleColBandSize w:val="1"/>
      <w:tblCellMar>
        <w:left w:w="108" w:type="dxa"/>
        <w:top w:w="0" w:type="dxa"/>
        <w:right w:w="108" w:type="dxa"/>
        <w:bottom w:w="0" w:type="dxa"/>
      </w:tblCellMar>
      <w:tblBorders>
        <w:right w:val="single" w:color="f4b184" w:themeColor="accent2" w:themeTint="97" w:sz="4" w:space="0"/>
      </w:tblBorders>
    </w:tblPr>
    <w:tcPr>
      <w:tcBorders/>
    </w:tcPr>
    <w:tblStylePr w:type="band1Horz">
      <w:rPr>
        <w:color w:val="ca5d12" w:themeColor="accent2" w:themeTint="97" w:themeShade="95"/>
        <w:sz w:val="22"/>
      </w:rPr>
      <w:pPr>
        <w:pBdr/>
        <w:spacing/>
        <w:ind/>
      </w:pPr>
      <w:tblPr>
        <w:tblBorders/>
      </w:tblPr>
      <w:tcPr>
        <w:shd w:val="clear" w:color="fadecb" w:fill="fadecb" w:themeFill="accent2" w:themeFillTint="40"/>
        <w:tcBorders/>
      </w:tcPr>
    </w:tblStylePr>
    <w:tblStylePr w:type="band1Vert">
      <w:pPr>
        <w:pBdr/>
        <w:spacing/>
        <w:ind/>
      </w:pPr>
      <w:tblPr>
        <w:tblBorders/>
      </w:tblPr>
      <w:tcPr>
        <w:shd w:val="clear" w:color="fadecb" w:fill="fadecb" w:themeFill="accent2" w:themeFillTint="40"/>
        <w:tcBorders/>
      </w:tcPr>
    </w:tblStylePr>
    <w:tblStylePr w:type="band2Horz">
      <w:rPr>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a5d12"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ed7d31" w:themeColor="accent2" w:sz="4" w:space="0"/>
        </w:tcBorders>
      </w:tcPr>
    </w:tblStylePr>
    <w:tblStylePr w:type="firstRow">
      <w:rPr>
        <w:i/>
        <w:color w:val="ca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ed7d31" w:themeColor="accent2" w:sz="4" w:space="0"/>
          <w:right w:val="none" w:color="000000" w:sz="4" w:space="0"/>
        </w:tcBorders>
      </w:tcPr>
    </w:tblStylePr>
    <w:tblStylePr w:type="lastCol">
      <w:rPr>
        <w:i/>
        <w:color w:val="ca5d12" w:themeColor="accent2" w:themeTint="97" w:themeShade="95"/>
        <w:sz w:val="22"/>
      </w:rPr>
      <w:pPr>
        <w:pBdr/>
        <w:spacing/>
        <w:ind/>
      </w:pPr>
      <w:tblPr>
        <w:tblBorders/>
      </w:tblPr>
      <w:tcPr>
        <w:shd w:val="clear" w:color="ffffff" w:fill="auto"/>
        <w:tcBorders>
          <w:top w:val="none" w:color="000000" w:sz="4" w:space="0"/>
          <w:left w:val="single" w:color="ed7d31" w:themeColor="accent2" w:sz="4" w:space="0"/>
          <w:bottom w:val="none" w:color="000000" w:sz="4" w:space="0"/>
          <w:right w:val="none" w:color="000000" w:sz="4" w:space="0"/>
        </w:tcBorders>
      </w:tcPr>
    </w:tblStylePr>
    <w:tblStylePr w:type="lastRow">
      <w:rPr>
        <w:i/>
        <w:color w:val="ca5d12" w:themeColor="accent2" w:themeTint="97" w:themeShade="95"/>
        <w:sz w:val="22"/>
      </w:rPr>
      <w:pPr>
        <w:pBdr/>
        <w:spacing/>
        <w:ind/>
      </w:pPr>
      <w:tblPr>
        <w:tblBorders/>
      </w:tblPr>
      <w:tcPr>
        <w:shd w:val="clear" w:color="ffffff" w:fill="ffffff" w:themeFill="light1"/>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5" w:customStyle="1">
    <w:name w:val="List Table 7 Colorful - Accent 3"/>
    <w:basedOn w:val="1253"/>
    <w:uiPriority w:val="99"/>
    <w:pPr>
      <w:pBdr/>
      <w:spacing/>
      <w:ind/>
    </w:pPr>
    <w:tblPr>
      <w:tblStyleRowBandSize w:val="1"/>
      <w:tblStyleColBandSize w:val="1"/>
      <w:tblCellMar>
        <w:left w:w="108" w:type="dxa"/>
        <w:top w:w="0" w:type="dxa"/>
        <w:right w:w="108" w:type="dxa"/>
        <w:bottom w:w="0" w:type="dxa"/>
      </w:tblCellMar>
      <w:tblBorders>
        <w:right w:val="single" w:color="c9c9c9" w:themeColor="accent3" w:themeTint="98" w:sz="4" w:space="0"/>
      </w:tblBorders>
    </w:tblPr>
    <w:tcPr>
      <w:tcBorders/>
    </w:tcPr>
    <w:tblStylePr w:type="band1Horz">
      <w:rPr>
        <w:color w:val="757575" w:themeColor="accent3" w:themeTint="98" w:themeShade="95"/>
        <w:sz w:val="22"/>
      </w:rPr>
      <w:pPr>
        <w:pBdr/>
        <w:spacing/>
        <w:ind/>
      </w:pPr>
      <w:tblPr>
        <w:tblBorders/>
      </w:tblPr>
      <w:tcPr>
        <w:shd w:val="clear" w:color="e8e8e8" w:fill="e8e8e8" w:themeFill="accent3" w:themeFillTint="40"/>
        <w:tcBorders/>
      </w:tcPr>
    </w:tblStylePr>
    <w:tblStylePr w:type="band1Vert">
      <w:pPr>
        <w:pBdr/>
        <w:spacing/>
        <w:ind/>
      </w:pPr>
      <w:tblPr>
        <w:tblBorders/>
      </w:tblPr>
      <w:tcPr>
        <w:shd w:val="clear" w:color="e8e8e8" w:fill="e8e8e8" w:themeFill="accent3" w:themeFillTint="40"/>
        <w:tcBorders/>
      </w:tcPr>
    </w:tblStylePr>
    <w:tblStylePr w:type="band2Horz">
      <w:rPr>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57575"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sz="4" w:space="0"/>
        </w:tcBorders>
      </w:tcPr>
    </w:tblStylePr>
    <w:tblStylePr w:type="firstRow">
      <w:rPr>
        <w:i/>
        <w:color w:val="757575"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a5a5a5" w:themeColor="accent3" w:sz="4" w:space="0"/>
          <w:right w:val="none" w:color="000000" w:sz="4" w:space="0"/>
        </w:tcBorders>
      </w:tcPr>
    </w:tblStylePr>
    <w:tblStylePr w:type="lastCol">
      <w:rPr>
        <w:i/>
        <w:color w:val="757575" w:themeColor="accent3" w:themeTint="98" w:themeShade="95"/>
        <w:sz w:val="22"/>
      </w:rPr>
      <w:pPr>
        <w:pBdr/>
        <w:spacing/>
        <w:ind/>
      </w:pPr>
      <w:tblPr>
        <w:tblBorders/>
      </w:tblPr>
      <w:tcPr>
        <w:shd w:val="clear" w:color="ffffff" w:fill="auto"/>
        <w:tcBorders>
          <w:top w:val="none" w:color="000000" w:sz="4" w:space="0"/>
          <w:left w:val="single" w:color="a5a5a5" w:themeColor="accent3" w:sz="4" w:space="0"/>
          <w:bottom w:val="none" w:color="000000" w:sz="4" w:space="0"/>
          <w:right w:val="none" w:color="000000" w:sz="4" w:space="0"/>
        </w:tcBorders>
      </w:tcPr>
    </w:tblStylePr>
    <w:tblStylePr w:type="lastRow">
      <w:rPr>
        <w:i/>
        <w:color w:val="757575" w:themeColor="accent3" w:themeTint="98" w:themeShade="95"/>
        <w:sz w:val="22"/>
      </w:rPr>
      <w:pPr>
        <w:pBdr/>
        <w:spacing/>
        <w:ind/>
      </w:pPr>
      <w:tblPr>
        <w:tblBorders/>
      </w:tblPr>
      <w:tcPr>
        <w:shd w:val="clear" w:color="ffffff" w:fill="ffffff" w:themeFill="light1"/>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6" w:customStyle="1">
    <w:name w:val="List Table 7 Colorful - Accent 4"/>
    <w:basedOn w:val="1253"/>
    <w:uiPriority w:val="99"/>
    <w:pPr>
      <w:pBdr/>
      <w:spacing/>
      <w:ind/>
    </w:pPr>
    <w:tblPr>
      <w:tblStyleRowBandSize w:val="1"/>
      <w:tblStyleColBandSize w:val="1"/>
      <w:tblCellMar>
        <w:left w:w="108" w:type="dxa"/>
        <w:top w:w="0" w:type="dxa"/>
        <w:right w:w="108" w:type="dxa"/>
        <w:bottom w:w="0" w:type="dxa"/>
      </w:tblCellMar>
      <w:tblBorders>
        <w:right w:val="single" w:color="ffd865"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efbf" w:fill="ffefbf" w:themeFill="accent4" w:themeFillTint="40"/>
        <w:tcBorders/>
      </w:tcPr>
    </w:tblStylePr>
    <w:tblStylePr w:type="band1Vert">
      <w:pPr>
        <w:pBdr/>
        <w:spacing/>
        <w:ind/>
      </w:pPr>
      <w:tblPr>
        <w:tblBorders/>
      </w:tblPr>
      <w:tcPr>
        <w:shd w:val="clear" w:color="ffefb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c000" w:themeColor="accent4" w:sz="4" w:space="0"/>
        </w:tcBorders>
      </w:tcPr>
    </w:tblStylePr>
    <w:tblStylePr w:type="firstRow">
      <w:rPr>
        <w:i/>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ffc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fill="auto"/>
        <w:tcBorders>
          <w:top w:val="none" w:color="000000" w:sz="4" w:space="0"/>
          <w:left w:val="single" w:color="ffc000" w:themeColor="accent4" w:sz="4" w:space="0"/>
          <w:bottom w:val="none" w:color="000000" w:sz="4" w:space="0"/>
          <w:right w:val="none" w:color="000000" w:sz="4" w:space="0"/>
        </w:tcBorders>
      </w:tcPr>
    </w:tblStylePr>
    <w:tblStylePr w:type="lastRow">
      <w:rPr>
        <w:i/>
        <w:color w:val="d09d00" w:themeColor="accent4" w:themeTint="9A" w:themeShade="95"/>
        <w:sz w:val="22"/>
      </w:rPr>
      <w:pPr>
        <w:pBdr/>
        <w:spacing/>
        <w:ind/>
      </w:pPr>
      <w:tblPr>
        <w:tblBorders/>
      </w:tblPr>
      <w:tcPr>
        <w:shd w:val="clear" w:color="ffffff" w:fill="ffffff" w:themeFill="light1"/>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7" w:customStyle="1">
    <w:name w:val="List Table 7 Colorful - Accent 5"/>
    <w:basedOn w:val="1253"/>
    <w:uiPriority w:val="99"/>
    <w:pPr>
      <w:pBdr/>
      <w:spacing/>
      <w:ind/>
    </w:pPr>
    <w:tblPr>
      <w:tblStyleRowBandSize w:val="1"/>
      <w:tblStyleColBandSize w:val="1"/>
      <w:tblCellMar>
        <w:left w:w="108" w:type="dxa"/>
        <w:top w:w="0" w:type="dxa"/>
        <w:right w:w="108" w:type="dxa"/>
        <w:bottom w:w="0" w:type="dxa"/>
      </w:tblCellMar>
      <w:tblBorders>
        <w:right w:val="single" w:color="8da9db" w:themeColor="accent5" w:themeTint="9A" w:sz="4" w:space="0"/>
      </w:tblBorders>
    </w:tblPr>
    <w:tcPr>
      <w:tcBorders/>
    </w:tcPr>
    <w:tblStylePr w:type="band1Horz">
      <w:rPr>
        <w:color w:val="335ba0" w:themeColor="accent5" w:themeTint="9A" w:themeShade="95"/>
        <w:sz w:val="22"/>
      </w:rPr>
      <w:pPr>
        <w:pBdr/>
        <w:spacing/>
        <w:ind/>
      </w:pPr>
      <w:tblPr>
        <w:tblBorders/>
      </w:tblPr>
      <w:tcPr>
        <w:shd w:val="clear" w:color="cfdbf0" w:fill="cfdbf0" w:themeFill="accent5" w:themeFillTint="40"/>
        <w:tcBorders/>
      </w:tcPr>
    </w:tblStylePr>
    <w:tblStylePr w:type="band1Vert">
      <w:pPr>
        <w:pBdr/>
        <w:spacing/>
        <w:ind/>
      </w:pPr>
      <w:tblPr>
        <w:tblBorders/>
      </w:tblPr>
      <w:tcPr>
        <w:shd w:val="clear" w:color="cfdbf0" w:fill="cfdbf0" w:themeFill="accent5" w:themeFillTint="40"/>
        <w:tcBorders/>
      </w:tcPr>
    </w:tblStylePr>
    <w:tblStylePr w:type="band2Horz">
      <w:rPr>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35ba0"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5" w:sz="4" w:space="0"/>
        </w:tcBorders>
      </w:tcPr>
    </w:tblStylePr>
    <w:tblStylePr w:type="firstRow">
      <w:rPr>
        <w:i/>
        <w:color w:val="335ba0"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4472c4" w:themeColor="accent5" w:sz="4" w:space="0"/>
          <w:right w:val="none" w:color="000000" w:sz="4" w:space="0"/>
        </w:tcBorders>
      </w:tcPr>
    </w:tblStylePr>
    <w:tblStylePr w:type="lastCol">
      <w:rPr>
        <w:i/>
        <w:color w:val="335ba0" w:themeColor="accent5" w:themeTint="9A" w:themeShade="95"/>
        <w:sz w:val="22"/>
      </w:rPr>
      <w:pPr>
        <w:pBdr/>
        <w:spacing/>
        <w:ind/>
      </w:pPr>
      <w:tblPr>
        <w:tblBorders/>
      </w:tblPr>
      <w:tcPr>
        <w:shd w:val="clear" w:color="ffffff" w:fill="auto"/>
        <w:tcBorders>
          <w:top w:val="none" w:color="000000" w:sz="4" w:space="0"/>
          <w:left w:val="single" w:color="4472c4" w:themeColor="accent5" w:sz="4" w:space="0"/>
          <w:bottom w:val="none" w:color="000000" w:sz="4" w:space="0"/>
          <w:right w:val="none" w:color="000000" w:sz="4" w:space="0"/>
        </w:tcBorders>
      </w:tcPr>
    </w:tblStylePr>
    <w:tblStylePr w:type="lastRow">
      <w:rPr>
        <w:i/>
        <w:color w:val="335ba0" w:themeColor="accent5" w:themeTint="9A" w:themeShade="95"/>
        <w:sz w:val="22"/>
      </w:rPr>
      <w:pPr>
        <w:pBdr/>
        <w:spacing/>
        <w:ind/>
      </w:pPr>
      <w:tblPr>
        <w:tblBorders/>
      </w:tblPr>
      <w:tcPr>
        <w:shd w:val="clear" w:color="ffffff" w:fill="ffffff" w:themeFill="light1"/>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8" w:customStyle="1">
    <w:name w:val="List Table 7 Colorful - Accent 6"/>
    <w:basedOn w:val="1253"/>
    <w:uiPriority w:val="99"/>
    <w:pPr>
      <w:pBdr/>
      <w:spacing/>
      <w:ind/>
    </w:pPr>
    <w:tblPr>
      <w:tblStyleRowBandSize w:val="1"/>
      <w:tblStyleColBandSize w:val="1"/>
      <w:tblCellMar>
        <w:left w:w="108" w:type="dxa"/>
        <w:top w:w="0" w:type="dxa"/>
        <w:right w:w="108" w:type="dxa"/>
        <w:bottom w:w="0" w:type="dxa"/>
      </w:tblCellMar>
      <w:tblBorders>
        <w:right w:val="single" w:color="a9d08e"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daebcf" w:fill="daebcf" w:themeFill="accent6" w:themeFillTint="40"/>
        <w:tcBorders/>
      </w:tcPr>
    </w:tblStylePr>
    <w:tblStylePr w:type="band1Vert">
      <w:pPr>
        <w:pBdr/>
        <w:spacing/>
        <w:ind/>
      </w:pPr>
      <w:tblPr>
        <w:tblBorders/>
      </w:tblPr>
      <w:tcPr>
        <w:shd w:val="clear" w:color="daebcf" w:fill="daebcf"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e923c"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0ad47" w:themeColor="accent6" w:sz="4" w:space="0"/>
        </w:tcBorders>
      </w:tcPr>
    </w:tblStylePr>
    <w:tblStylePr w:type="firstRow">
      <w:rPr>
        <w:i/>
        <w:color w:val="5e923c"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70ad47" w:themeColor="accent6" w:sz="4" w:space="0"/>
          <w:right w:val="none" w:color="000000" w:sz="4" w:space="0"/>
        </w:tcBorders>
      </w:tcPr>
    </w:tblStylePr>
    <w:tblStylePr w:type="lastCol">
      <w:rPr>
        <w:i/>
        <w:color w:val="5e923c" w:themeColor="accent6" w:themeTint="98" w:themeShade="95"/>
        <w:sz w:val="22"/>
      </w:rPr>
      <w:pPr>
        <w:pBdr/>
        <w:spacing/>
        <w:ind/>
      </w:pPr>
      <w:tblPr>
        <w:tblBorders/>
      </w:tblPr>
      <w:tcPr>
        <w:shd w:val="clear" w:color="ffffff" w:fill="auto"/>
        <w:tcBorders>
          <w:top w:val="none" w:color="000000" w:sz="4" w:space="0"/>
          <w:left w:val="single" w:color="70ad47" w:themeColor="accent6" w:sz="4" w:space="0"/>
          <w:bottom w:val="none" w:color="000000" w:sz="4" w:space="0"/>
          <w:right w:val="none" w:color="000000" w:sz="4" w:space="0"/>
        </w:tcBorders>
      </w:tcPr>
    </w:tblStylePr>
    <w:tblStylePr w:type="lastRow">
      <w:rPr>
        <w:i/>
        <w:color w:val="5e923c" w:themeColor="accent6" w:themeTint="98" w:themeShade="95"/>
        <w:sz w:val="22"/>
      </w:rPr>
      <w:pPr>
        <w:pBdr/>
        <w:spacing/>
        <w:ind/>
      </w:pPr>
      <w:tblPr>
        <w:tblBorders/>
      </w:tblPr>
      <w:tcPr>
        <w:shd w:val="clear" w:color="ffffff" w:fill="ffffff" w:themeFill="light1"/>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9" w:customStyle="1">
    <w:name w:val="Lined - Accent"/>
    <w:basedOn w:val="1253"/>
    <w:uiPriority w:val="99"/>
    <w:pPr>
      <w:pBdr/>
      <w:spacing/>
      <w:ind/>
    </w:pPr>
    <w:rPr>
      <w:sz w:val="20"/>
      <w:szCs w:val="20"/>
    </w:r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2f2f2" w:themeFill="text1" w:themeFillTint="00"/>
        <w:tcBorders/>
      </w:tcPr>
    </w:tblStylePr>
    <w:tblStylePr w:type="band2Vert">
      <w:rPr>
        <w:sz w:val="22"/>
      </w:rPr>
      <w:pPr>
        <w:pBdr/>
        <w:spacing/>
        <w:ind/>
      </w:pPr>
      <w:tblPr>
        <w:tblBorders/>
      </w:tblPr>
      <w:tcPr>
        <w:shd w:val="clear" w:color="f2f2f2" w:fill="f2f2f2" w:themeFill="text1" w:themeFillTint="00"/>
        <w:tcBorders/>
      </w:tcPr>
    </w:tblStylePr>
    <w:tblStylePr w:type="firstCol">
      <w:rPr>
        <w:sz w:val="22"/>
      </w:rPr>
      <w:pPr>
        <w:pBdr/>
        <w:spacing/>
        <w:ind/>
      </w:pPr>
      <w:tblPr>
        <w:tblBorders/>
      </w:tblPr>
      <w:tcPr>
        <w:shd w:val="clear" w:color="7f7f7f" w:fill="7f7f7f" w:themeFill="text1" w:themeFillTint="80"/>
        <w:tcBorders/>
      </w:tcPr>
    </w:tblStylePr>
    <w:tblStylePr w:type="firstRow">
      <w:rPr>
        <w:sz w:val="22"/>
      </w:rPr>
      <w:pPr>
        <w:pBdr/>
        <w:spacing/>
        <w:ind/>
      </w:pPr>
      <w:tblPr>
        <w:tblBorders/>
      </w:tblPr>
      <w:tcPr>
        <w:shd w:val="clear" w:color="7f7f7f" w:fill="7f7f7f" w:themeFill="text1" w:themeFillTint="80"/>
        <w:tcBorders/>
      </w:tcPr>
    </w:tblStylePr>
    <w:tblStylePr w:type="lastCol">
      <w:rPr>
        <w:sz w:val="22"/>
      </w:rPr>
      <w:pPr>
        <w:pBdr/>
        <w:spacing/>
        <w:ind/>
      </w:pPr>
      <w:tblPr>
        <w:tblBorders/>
      </w:tblPr>
      <w:tcPr>
        <w:shd w:val="clear" w:color="7f7f7f" w:fill="7f7f7f" w:themeFill="text1" w:themeFillTint="80"/>
        <w:tcBorders/>
      </w:tcPr>
    </w:tblStylePr>
    <w:tblStylePr w:type="lastRow">
      <w:rPr>
        <w:sz w:val="22"/>
      </w:rPr>
      <w:pPr>
        <w:pBdr/>
        <w:spacing/>
        <w:ind/>
      </w:pPr>
      <w:tblPr>
        <w:tblBorders/>
      </w:tblPr>
      <w:tcPr>
        <w:shd w:val="clear" w:color="7f7f7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0" w:customStyle="1">
    <w:name w:val="Lined - Accent 1"/>
    <w:basedOn w:val="1253"/>
    <w:uiPriority w:val="99"/>
    <w:pPr>
      <w:pBdr/>
      <w:spacing/>
      <w:ind/>
    </w:pPr>
    <w:rPr>
      <w:sz w:val="20"/>
      <w:szCs w:val="20"/>
    </w:r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bdff1" w:fill="cbdff1" w:themeFill="accent1" w:themeFillTint="50"/>
        <w:tcBorders/>
      </w:tcPr>
    </w:tblStylePr>
    <w:tblStylePr w:type="band2Vert">
      <w:rPr>
        <w:sz w:val="22"/>
      </w:rPr>
      <w:pPr>
        <w:pBdr/>
        <w:spacing/>
        <w:ind/>
      </w:pPr>
      <w:tblPr>
        <w:tblBorders/>
      </w:tblPr>
      <w:tcPr>
        <w:shd w:val="clear" w:color="cbdff1" w:fill="cbdff1" w:themeFill="accent1" w:themeFillTint="50"/>
        <w:tcBorders/>
      </w:tcPr>
    </w:tblStylePr>
    <w:tblStylePr w:type="firstCol">
      <w:rPr>
        <w:sz w:val="22"/>
      </w:rPr>
      <w:pPr>
        <w:pBdr/>
        <w:spacing/>
        <w:ind/>
      </w:pPr>
      <w:tblPr>
        <w:tblBorders/>
      </w:tblPr>
      <w:tcPr>
        <w:shd w:val="clear" w:color="68a2d8" w:fill="68a2d8" w:themeFill="accent1" w:themeFillTint="EA"/>
        <w:tcBorders/>
      </w:tcPr>
    </w:tblStylePr>
    <w:tblStylePr w:type="firstRow">
      <w:rPr>
        <w:sz w:val="22"/>
      </w:rPr>
      <w:pPr>
        <w:pBdr/>
        <w:spacing/>
        <w:ind/>
      </w:pPr>
      <w:tblPr>
        <w:tblBorders/>
      </w:tblPr>
      <w:tcPr>
        <w:shd w:val="clear" w:color="68a2d8" w:fill="68a2d8" w:themeFill="accent1" w:themeFillTint="EA"/>
        <w:tcBorders/>
      </w:tcPr>
    </w:tblStylePr>
    <w:tblStylePr w:type="lastCol">
      <w:rPr>
        <w:sz w:val="22"/>
      </w:rPr>
      <w:pPr>
        <w:pBdr/>
        <w:spacing/>
        <w:ind/>
      </w:pPr>
      <w:tblPr>
        <w:tblBorders/>
      </w:tblPr>
      <w:tcPr>
        <w:shd w:val="clear" w:color="68a2d8" w:fill="68a2d8" w:themeFill="accent1" w:themeFillTint="EA"/>
        <w:tcBorders/>
      </w:tcPr>
    </w:tblStylePr>
    <w:tblStylePr w:type="lastRow">
      <w:rPr>
        <w:sz w:val="22"/>
      </w:rPr>
      <w:pPr>
        <w:pBdr/>
        <w:spacing/>
        <w:ind/>
      </w:pPr>
      <w:tblPr>
        <w:tblBorders/>
      </w:tblPr>
      <w:tcPr>
        <w:shd w:val="clear" w:color="68a2d8"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1" w:customStyle="1">
    <w:name w:val="Lined - Accent 2"/>
    <w:basedOn w:val="1253"/>
    <w:uiPriority w:val="99"/>
    <w:pPr>
      <w:pBdr/>
      <w:spacing/>
      <w:ind/>
    </w:pPr>
    <w:rPr>
      <w:sz w:val="20"/>
      <w:szCs w:val="20"/>
    </w:r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be5d6" w:fill="fbe5d6" w:themeFill="accent2" w:themeFillTint="32"/>
        <w:tcBorders/>
      </w:tcPr>
    </w:tblStylePr>
    <w:tblStylePr w:type="band2Vert">
      <w:rPr>
        <w:sz w:val="22"/>
      </w:rPr>
      <w:pPr>
        <w:pBdr/>
        <w:spacing/>
        <w:ind/>
      </w:pPr>
      <w:tblPr>
        <w:tblBorders/>
      </w:tblPr>
      <w:tcPr>
        <w:shd w:val="clear" w:color="fbe5d6" w:fill="fbe5d6" w:themeFill="accent2" w:themeFillTint="32"/>
        <w:tcBorders/>
      </w:tcPr>
    </w:tblStylePr>
    <w:tblStylePr w:type="firstCol">
      <w:rPr>
        <w:sz w:val="22"/>
      </w:rPr>
      <w:pPr>
        <w:pBdr/>
        <w:spacing/>
        <w:ind/>
      </w:pPr>
      <w:tblPr>
        <w:tblBorders/>
      </w:tblPr>
      <w:tcPr>
        <w:shd w:val="clear" w:color="f4b184" w:fill="f4b184" w:themeFill="accent2" w:themeFillTint="97"/>
        <w:tcBorders/>
      </w:tcPr>
    </w:tblStylePr>
    <w:tblStylePr w:type="firstRow">
      <w:rPr>
        <w:sz w:val="22"/>
      </w:rPr>
      <w:pPr>
        <w:pBdr/>
        <w:spacing/>
        <w:ind/>
      </w:pPr>
      <w:tblPr>
        <w:tblBorders/>
      </w:tblPr>
      <w:tcPr>
        <w:shd w:val="clear" w:color="f4b184" w:fill="f4b184" w:themeFill="accent2" w:themeFillTint="97"/>
        <w:tcBorders/>
      </w:tcPr>
    </w:tblStylePr>
    <w:tblStylePr w:type="lastCol">
      <w:rPr>
        <w:sz w:val="22"/>
      </w:rPr>
      <w:pPr>
        <w:pBdr/>
        <w:spacing/>
        <w:ind/>
      </w:pPr>
      <w:tblPr>
        <w:tblBorders/>
      </w:tblPr>
      <w:tcPr>
        <w:shd w:val="clear" w:color="f4b184" w:fill="f4b184" w:themeFill="accent2" w:themeFillTint="97"/>
        <w:tcBorders/>
      </w:tcPr>
    </w:tblStylePr>
    <w:tblStylePr w:type="lastRow">
      <w:rPr>
        <w:sz w:val="22"/>
      </w:rPr>
      <w:pPr>
        <w:pBdr/>
        <w:spacing/>
        <w:ind/>
      </w:pPr>
      <w:tblPr>
        <w:tblBorders/>
      </w:tblPr>
      <w:tcPr>
        <w:shd w:val="clear" w:color="f4b184"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2" w:customStyle="1">
    <w:name w:val="Lined - Accent 3"/>
    <w:basedOn w:val="1253"/>
    <w:uiPriority w:val="99"/>
    <w:pPr>
      <w:pBdr/>
      <w:spacing/>
      <w:ind/>
    </w:pPr>
    <w:rPr>
      <w:sz w:val="20"/>
      <w:szCs w:val="20"/>
    </w:r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cecec" w:fill="ececec" w:themeFill="accent3" w:themeFillTint="34"/>
        <w:tcBorders/>
      </w:tcPr>
    </w:tblStylePr>
    <w:tblStylePr w:type="band2Vert">
      <w:rPr>
        <w:sz w:val="22"/>
      </w:rPr>
      <w:pPr>
        <w:pBdr/>
        <w:spacing/>
        <w:ind/>
      </w:pPr>
      <w:tblPr>
        <w:tblBorders/>
      </w:tblPr>
      <w:tcPr>
        <w:shd w:val="clear" w:color="ececec" w:fill="ececec" w:themeFill="accent3" w:themeFillTint="34"/>
        <w:tcBorders/>
      </w:tcPr>
    </w:tblStylePr>
    <w:tblStylePr w:type="firstCol">
      <w:rPr>
        <w:sz w:val="22"/>
      </w:rPr>
      <w:pPr>
        <w:pBdr/>
        <w:spacing/>
        <w:ind/>
      </w:pPr>
      <w:tblPr>
        <w:tblBorders/>
      </w:tblPr>
      <w:tcPr>
        <w:shd w:val="clear" w:color="a5a5a5" w:fill="a5a5a5" w:themeFill="accent3" w:themeFillTint="FE"/>
        <w:tcBorders/>
      </w:tcPr>
    </w:tblStylePr>
    <w:tblStylePr w:type="firstRow">
      <w:rPr>
        <w:sz w:val="22"/>
      </w:rPr>
      <w:pPr>
        <w:pBdr/>
        <w:spacing/>
        <w:ind/>
      </w:pPr>
      <w:tblPr>
        <w:tblBorders/>
      </w:tblPr>
      <w:tcPr>
        <w:shd w:val="clear" w:color="a5a5a5" w:fill="a5a5a5" w:themeFill="accent3" w:themeFillTint="FE"/>
        <w:tcBorders/>
      </w:tcPr>
    </w:tblStylePr>
    <w:tblStylePr w:type="lastCol">
      <w:rPr>
        <w:sz w:val="22"/>
      </w:rPr>
      <w:pPr>
        <w:pBdr/>
        <w:spacing/>
        <w:ind/>
      </w:pPr>
      <w:tblPr>
        <w:tblBorders/>
      </w:tblPr>
      <w:tcPr>
        <w:shd w:val="clear" w:color="a5a5a5" w:fill="a5a5a5" w:themeFill="accent3" w:themeFillTint="FE"/>
        <w:tcBorders/>
      </w:tcPr>
    </w:tblStylePr>
    <w:tblStylePr w:type="lastRow">
      <w:rPr>
        <w:sz w:val="22"/>
      </w:rPr>
      <w:pPr>
        <w:pBdr/>
        <w:spacing/>
        <w:ind/>
      </w:pPr>
      <w:tblPr>
        <w:tblBorders/>
      </w:tblPr>
      <w:tcPr>
        <w:shd w:val="clear" w:color="a5a5a5"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3" w:customStyle="1">
    <w:name w:val="Lined - Accent 4"/>
    <w:basedOn w:val="1253"/>
    <w:uiPriority w:val="99"/>
    <w:pPr>
      <w:pBdr/>
      <w:spacing/>
      <w:ind/>
    </w:pPr>
    <w:rPr>
      <w:sz w:val="20"/>
      <w:szCs w:val="20"/>
    </w:r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2cb" w:fill="fff2cb" w:themeFill="accent4" w:themeFillTint="34"/>
        <w:tcBorders/>
      </w:tcPr>
    </w:tblStylePr>
    <w:tblStylePr w:type="band2Vert">
      <w:rPr>
        <w:sz w:val="22"/>
      </w:rPr>
      <w:pPr>
        <w:pBdr/>
        <w:spacing/>
        <w:ind/>
      </w:pPr>
      <w:tblPr>
        <w:tblBorders/>
      </w:tblPr>
      <w:tcPr>
        <w:shd w:val="clear" w:color="fff2cb" w:fill="fff2cb" w:themeFill="accent4" w:themeFillTint="34"/>
        <w:tcBorders/>
      </w:tcPr>
    </w:tblStylePr>
    <w:tblStylePr w:type="firstCol">
      <w:rPr>
        <w:sz w:val="22"/>
      </w:rPr>
      <w:pPr>
        <w:pBdr/>
        <w:spacing/>
        <w:ind/>
      </w:pPr>
      <w:tblPr>
        <w:tblBorders/>
      </w:tblPr>
      <w:tcPr>
        <w:shd w:val="clear" w:color="ffd865" w:fill="ffd865" w:themeFill="accent4" w:themeFillTint="9A"/>
        <w:tcBorders/>
      </w:tcPr>
    </w:tblStylePr>
    <w:tblStylePr w:type="firstRow">
      <w:rPr>
        <w:sz w:val="22"/>
      </w:rPr>
      <w:pPr>
        <w:pBdr/>
        <w:spacing/>
        <w:ind/>
      </w:pPr>
      <w:tblPr>
        <w:tblBorders/>
      </w:tblPr>
      <w:tcPr>
        <w:shd w:val="clear" w:color="ffd865" w:fill="ffd865" w:themeFill="accent4" w:themeFillTint="9A"/>
        <w:tcBorders/>
      </w:tcPr>
    </w:tblStylePr>
    <w:tblStylePr w:type="lastCol">
      <w:rPr>
        <w:sz w:val="22"/>
      </w:rPr>
      <w:pPr>
        <w:pBdr/>
        <w:spacing/>
        <w:ind/>
      </w:pPr>
      <w:tblPr>
        <w:tblBorders/>
      </w:tblPr>
      <w:tcPr>
        <w:shd w:val="clear" w:color="ffd865" w:fill="ffd865" w:themeFill="accent4" w:themeFillTint="9A"/>
        <w:tcBorders/>
      </w:tcPr>
    </w:tblStylePr>
    <w:tblStylePr w:type="lastRow">
      <w:rPr>
        <w:sz w:val="22"/>
      </w:rPr>
      <w:pPr>
        <w:pBdr/>
        <w:spacing/>
        <w:ind/>
      </w:pPr>
      <w:tblPr>
        <w:tblBorders/>
      </w:tblPr>
      <w:tcPr>
        <w:shd w:val="clear" w:color="ffd865"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4" w:customStyle="1">
    <w:name w:val="Lined - Accent 5"/>
    <w:basedOn w:val="1253"/>
    <w:uiPriority w:val="99"/>
    <w:pPr>
      <w:pBdr/>
      <w:spacing/>
      <w:ind/>
    </w:pPr>
    <w:rPr>
      <w:sz w:val="20"/>
      <w:szCs w:val="20"/>
    </w:r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8e2f3" w:fill="d8e2f3" w:themeFill="accent5" w:themeFillTint="34"/>
        <w:tcBorders/>
      </w:tcPr>
    </w:tblStylePr>
    <w:tblStylePr w:type="band2Vert">
      <w:rPr>
        <w:sz w:val="22"/>
      </w:rPr>
      <w:pPr>
        <w:pBdr/>
        <w:spacing/>
        <w:ind/>
      </w:pPr>
      <w:tblPr>
        <w:tblBorders/>
      </w:tblPr>
      <w:tcPr>
        <w:shd w:val="clear" w:color="d8e2f3" w:fill="d8e2f3" w:themeFill="accent5" w:themeFillTint="34"/>
        <w:tcBorders/>
      </w:tcPr>
    </w:tblStylePr>
    <w:tblStylePr w:type="firstCol">
      <w:rPr>
        <w:sz w:val="22"/>
      </w:rPr>
      <w:pPr>
        <w:pBdr/>
        <w:spacing/>
        <w:ind/>
      </w:pPr>
      <w:tblPr>
        <w:tblBorders/>
      </w:tblPr>
      <w:tcPr>
        <w:shd w:val="clear" w:color="4472c4" w:fill="4472c4" w:themeFill="accent5"/>
        <w:tcBorders/>
      </w:tcPr>
    </w:tblStylePr>
    <w:tblStylePr w:type="firstRow">
      <w:rPr>
        <w:sz w:val="22"/>
      </w:rPr>
      <w:pPr>
        <w:pBdr/>
        <w:spacing/>
        <w:ind/>
      </w:pPr>
      <w:tblPr>
        <w:tblBorders/>
      </w:tblPr>
      <w:tcPr>
        <w:shd w:val="clear" w:color="4472c4" w:fill="4472c4" w:themeFill="accent5"/>
        <w:tcBorders/>
      </w:tcPr>
    </w:tblStylePr>
    <w:tblStylePr w:type="lastCol">
      <w:rPr>
        <w:sz w:val="22"/>
      </w:rPr>
      <w:pPr>
        <w:pBdr/>
        <w:spacing/>
        <w:ind/>
      </w:pPr>
      <w:tblPr>
        <w:tblBorders/>
      </w:tblPr>
      <w:tcPr>
        <w:shd w:val="clear" w:color="4472c4" w:fill="4472c4" w:themeFill="accent5"/>
        <w:tcBorders/>
      </w:tcPr>
    </w:tblStylePr>
    <w:tblStylePr w:type="lastRow">
      <w:rPr>
        <w:sz w:val="22"/>
      </w:rPr>
      <w:pPr>
        <w:pBdr/>
        <w:spacing/>
        <w:ind/>
      </w:pPr>
      <w:tblPr>
        <w:tblBorders/>
      </w:tblPr>
      <w:tcPr>
        <w:shd w:val="clear" w:color="4472c4"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5" w:customStyle="1">
    <w:name w:val="Lined - Accent 6"/>
    <w:basedOn w:val="1253"/>
    <w:uiPriority w:val="99"/>
    <w:pPr>
      <w:pBdr/>
      <w:spacing/>
      <w:ind/>
    </w:pPr>
    <w:rPr>
      <w:sz w:val="20"/>
      <w:szCs w:val="20"/>
    </w:r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1efd8" w:fill="e1efd8" w:themeFill="accent6" w:themeFillTint="34"/>
        <w:tcBorders/>
      </w:tcPr>
    </w:tblStylePr>
    <w:tblStylePr w:type="band2Vert">
      <w:rPr>
        <w:sz w:val="22"/>
      </w:rPr>
      <w:pPr>
        <w:pBdr/>
        <w:spacing/>
        <w:ind/>
      </w:pPr>
      <w:tblPr>
        <w:tblBorders/>
      </w:tblPr>
      <w:tcPr>
        <w:shd w:val="clear" w:color="e1efd8" w:fill="e1efd8" w:themeFill="accent6" w:themeFillTint="34"/>
        <w:tcBorders/>
      </w:tcPr>
    </w:tblStylePr>
    <w:tblStylePr w:type="firstCol">
      <w:rPr>
        <w:sz w:val="22"/>
      </w:rPr>
      <w:pPr>
        <w:pBdr/>
        <w:spacing/>
        <w:ind/>
      </w:pPr>
      <w:tblPr>
        <w:tblBorders/>
      </w:tblPr>
      <w:tcPr>
        <w:shd w:val="clear" w:color="70ad47" w:fill="70ad47" w:themeFill="accent6"/>
        <w:tcBorders/>
      </w:tcPr>
    </w:tblStylePr>
    <w:tblStylePr w:type="firstRow">
      <w:rPr>
        <w:sz w:val="22"/>
      </w:rPr>
      <w:pPr>
        <w:pBdr/>
        <w:spacing/>
        <w:ind/>
      </w:pPr>
      <w:tblPr>
        <w:tblBorders/>
      </w:tblPr>
      <w:tcPr>
        <w:shd w:val="clear" w:color="70ad47" w:fill="70ad47" w:themeFill="accent6"/>
        <w:tcBorders/>
      </w:tcPr>
    </w:tblStylePr>
    <w:tblStylePr w:type="lastCol">
      <w:rPr>
        <w:sz w:val="22"/>
      </w:rPr>
      <w:pPr>
        <w:pBdr/>
        <w:spacing/>
        <w:ind/>
      </w:pPr>
      <w:tblPr>
        <w:tblBorders/>
      </w:tblPr>
      <w:tcPr>
        <w:shd w:val="clear" w:color="70ad47" w:fill="70ad47" w:themeFill="accent6"/>
        <w:tcBorders/>
      </w:tcPr>
    </w:tblStylePr>
    <w:tblStylePr w:type="lastRow">
      <w:rPr>
        <w:sz w:val="22"/>
      </w:rPr>
      <w:pPr>
        <w:pBdr/>
        <w:spacing/>
        <w:ind/>
      </w:pPr>
      <w:tblPr>
        <w:tblBorders/>
      </w:tblPr>
      <w:tcPr>
        <w:shd w:val="clear" w:color="70ad47"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6" w:customStyle="1">
    <w:name w:val="Bordered &amp; Lined - Accent"/>
    <w:basedOn w:val="1253"/>
    <w:uiPriority w:val="99"/>
    <w:pPr>
      <w:pBdr/>
      <w:spacing/>
      <w:ind/>
    </w:pPr>
    <w:rPr>
      <w:sz w:val="20"/>
      <w:szCs w:val="20"/>
    </w:rPr>
    <w:tblPr>
      <w:tblStyleRowBandSize w:val="1"/>
      <w:tblStyleColBandSize w:val="1"/>
      <w:tblCellMar>
        <w:left w:w="108" w:type="dxa"/>
        <w:top w:w="0" w:type="dxa"/>
        <w:right w:w="108" w:type="dxa"/>
        <w:bottom w:w="0" w:type="dxa"/>
      </w:tblCellMar>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2f2f2" w:themeFill="text1" w:themeFillTint="00"/>
        <w:tcBorders/>
      </w:tcPr>
    </w:tblStylePr>
    <w:tblStylePr w:type="band2Vert">
      <w:rPr>
        <w:sz w:val="22"/>
      </w:rPr>
      <w:pPr>
        <w:pBdr/>
        <w:spacing/>
        <w:ind/>
      </w:pPr>
      <w:tblPr>
        <w:tblBorders/>
      </w:tblPr>
      <w:tcPr>
        <w:shd w:val="clear" w:color="f2f2f2" w:fill="f2f2f2" w:themeFill="text1" w:themeFillTint="00"/>
        <w:tcBorders/>
      </w:tcPr>
    </w:tblStylePr>
    <w:tblStylePr w:type="firstCol">
      <w:rPr>
        <w:sz w:val="22"/>
      </w:rPr>
      <w:pPr>
        <w:pBdr/>
        <w:spacing/>
        <w:ind/>
      </w:pPr>
      <w:tblPr>
        <w:tblBorders/>
      </w:tblPr>
      <w:tcPr>
        <w:shd w:val="clear" w:color="7f7f7f" w:fill="7f7f7f" w:themeFill="text1" w:themeFillTint="80"/>
        <w:tcBorders/>
      </w:tcPr>
    </w:tblStylePr>
    <w:tblStylePr w:type="firstRow">
      <w:rPr>
        <w:sz w:val="22"/>
      </w:rPr>
      <w:pPr>
        <w:pBdr/>
        <w:spacing/>
        <w:ind/>
      </w:pPr>
      <w:tblPr>
        <w:tblBorders/>
      </w:tblPr>
      <w:tcPr>
        <w:shd w:val="clear" w:color="7f7f7f" w:fill="7f7f7f" w:themeFill="text1" w:themeFillTint="80"/>
        <w:tcBorders/>
      </w:tcPr>
    </w:tblStylePr>
    <w:tblStylePr w:type="lastCol">
      <w:rPr>
        <w:sz w:val="22"/>
      </w:rPr>
      <w:pPr>
        <w:pBdr/>
        <w:spacing/>
        <w:ind/>
      </w:pPr>
      <w:tblPr>
        <w:tblBorders/>
      </w:tblPr>
      <w:tcPr>
        <w:shd w:val="clear" w:color="7f7f7f" w:fill="7f7f7f" w:themeFill="text1" w:themeFillTint="80"/>
        <w:tcBorders/>
      </w:tcPr>
    </w:tblStylePr>
    <w:tblStylePr w:type="lastRow">
      <w:rPr>
        <w:sz w:val="22"/>
      </w:rPr>
      <w:pPr>
        <w:pBdr/>
        <w:spacing/>
        <w:ind/>
      </w:pPr>
      <w:tblPr>
        <w:tblBorders/>
      </w:tblPr>
      <w:tcPr>
        <w:shd w:val="clear" w:color="7f7f7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7" w:customStyle="1">
    <w:name w:val="Bordered &amp; Lined - Accent 1"/>
    <w:basedOn w:val="1253"/>
    <w:uiPriority w:val="99"/>
    <w:pPr>
      <w:pBdr/>
      <w:spacing/>
      <w:ind/>
    </w:pPr>
    <w:rPr>
      <w:sz w:val="20"/>
      <w:szCs w:val="20"/>
    </w:rPr>
    <w:tblPr>
      <w:tblStyleRowBandSize w:val="1"/>
      <w:tblStyleColBandSize w:val="1"/>
      <w:tblCellMar>
        <w:left w:w="108" w:type="dxa"/>
        <w:top w:w="0" w:type="dxa"/>
        <w:right w:w="108" w:type="dxa"/>
        <w:bottom w:w="0" w:type="dxa"/>
      </w:tblCellMar>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bdff1" w:fill="cbdff1" w:themeFill="accent1" w:themeFillTint="50"/>
        <w:tcBorders/>
      </w:tcPr>
    </w:tblStylePr>
    <w:tblStylePr w:type="band2Vert">
      <w:rPr>
        <w:sz w:val="22"/>
      </w:rPr>
      <w:pPr>
        <w:pBdr/>
        <w:spacing/>
        <w:ind/>
      </w:pPr>
      <w:tblPr>
        <w:tblBorders/>
      </w:tblPr>
      <w:tcPr>
        <w:shd w:val="clear" w:color="cbdff1" w:fill="cbdff1" w:themeFill="accent1" w:themeFillTint="50"/>
        <w:tcBorders/>
      </w:tcPr>
    </w:tblStylePr>
    <w:tblStylePr w:type="firstCol">
      <w:rPr>
        <w:sz w:val="22"/>
      </w:rPr>
      <w:pPr>
        <w:pBdr/>
        <w:spacing/>
        <w:ind/>
      </w:pPr>
      <w:tblPr>
        <w:tblBorders/>
      </w:tblPr>
      <w:tcPr>
        <w:shd w:val="clear" w:color="68a2d8" w:fill="68a2d8" w:themeFill="accent1" w:themeFillTint="EA"/>
        <w:tcBorders/>
      </w:tcPr>
    </w:tblStylePr>
    <w:tblStylePr w:type="firstRow">
      <w:rPr>
        <w:sz w:val="22"/>
      </w:rPr>
      <w:pPr>
        <w:pBdr/>
        <w:spacing/>
        <w:ind/>
      </w:pPr>
      <w:tblPr>
        <w:tblBorders/>
      </w:tblPr>
      <w:tcPr>
        <w:shd w:val="clear" w:color="68a2d8" w:fill="68a2d8" w:themeFill="accent1" w:themeFillTint="EA"/>
        <w:tcBorders/>
      </w:tcPr>
    </w:tblStylePr>
    <w:tblStylePr w:type="lastCol">
      <w:rPr>
        <w:sz w:val="22"/>
      </w:rPr>
      <w:pPr>
        <w:pBdr/>
        <w:spacing/>
        <w:ind/>
      </w:pPr>
      <w:tblPr>
        <w:tblBorders/>
      </w:tblPr>
      <w:tcPr>
        <w:shd w:val="clear" w:color="68a2d8" w:fill="68a2d8" w:themeFill="accent1" w:themeFillTint="EA"/>
        <w:tcBorders/>
      </w:tcPr>
    </w:tblStylePr>
    <w:tblStylePr w:type="lastRow">
      <w:rPr>
        <w:sz w:val="22"/>
      </w:rPr>
      <w:pPr>
        <w:pBdr/>
        <w:spacing/>
        <w:ind/>
      </w:pPr>
      <w:tblPr>
        <w:tblBorders/>
      </w:tblPr>
      <w:tcPr>
        <w:shd w:val="clear" w:color="68a2d8"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8" w:customStyle="1">
    <w:name w:val="Bordered &amp; Lined - Accent 2"/>
    <w:basedOn w:val="1253"/>
    <w:uiPriority w:val="99"/>
    <w:pPr>
      <w:pBdr/>
      <w:spacing/>
      <w:ind/>
    </w:pPr>
    <w:rPr>
      <w:sz w:val="20"/>
      <w:szCs w:val="20"/>
    </w:rPr>
    <w:tblPr>
      <w:tblStyleRowBandSize w:val="1"/>
      <w:tblStyleColBandSize w:val="1"/>
      <w:tblCellMar>
        <w:left w:w="108" w:type="dxa"/>
        <w:top w:w="0" w:type="dxa"/>
        <w:right w:w="108" w:type="dxa"/>
        <w:bottom w:w="0" w:type="dxa"/>
      </w:tblCellMar>
      <w:tblBorders>
        <w:top w:val="single" w:color="ed7d31" w:themeColor="accent2" w:sz="4" w:space="0"/>
        <w:left w:val="single" w:color="ed7d31" w:themeColor="accent2" w:sz="4" w:space="0"/>
        <w:bottom w:val="single" w:color="ed7d31" w:themeColor="accent2" w:sz="4" w:space="0"/>
        <w:right w:val="single" w:color="ed7d31" w:themeColor="accent2" w:sz="4" w:space="0"/>
        <w:insideH w:val="single" w:color="ed7d31" w:themeColor="accent2" w:sz="4" w:space="0"/>
        <w:insideV w:val="single" w:color="ed7d31"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be5d6" w:fill="fbe5d6" w:themeFill="accent2" w:themeFillTint="32"/>
        <w:tcBorders/>
      </w:tcPr>
    </w:tblStylePr>
    <w:tblStylePr w:type="band2Vert">
      <w:rPr>
        <w:sz w:val="22"/>
      </w:rPr>
      <w:pPr>
        <w:pBdr/>
        <w:spacing/>
        <w:ind/>
      </w:pPr>
      <w:tblPr>
        <w:tblBorders/>
      </w:tblPr>
      <w:tcPr>
        <w:shd w:val="clear" w:color="fbe5d6" w:fill="fbe5d6" w:themeFill="accent2" w:themeFillTint="32"/>
        <w:tcBorders/>
      </w:tcPr>
    </w:tblStylePr>
    <w:tblStylePr w:type="firstCol">
      <w:rPr>
        <w:sz w:val="22"/>
      </w:rPr>
      <w:pPr>
        <w:pBdr/>
        <w:spacing/>
        <w:ind/>
      </w:pPr>
      <w:tblPr>
        <w:tblBorders/>
      </w:tblPr>
      <w:tcPr>
        <w:shd w:val="clear" w:color="f4b184" w:fill="f4b184" w:themeFill="accent2" w:themeFillTint="97"/>
        <w:tcBorders/>
      </w:tcPr>
    </w:tblStylePr>
    <w:tblStylePr w:type="firstRow">
      <w:rPr>
        <w:sz w:val="22"/>
      </w:rPr>
      <w:pPr>
        <w:pBdr/>
        <w:spacing/>
        <w:ind/>
      </w:pPr>
      <w:tblPr>
        <w:tblBorders/>
      </w:tblPr>
      <w:tcPr>
        <w:shd w:val="clear" w:color="f4b184" w:fill="f4b184" w:themeFill="accent2" w:themeFillTint="97"/>
        <w:tcBorders/>
      </w:tcPr>
    </w:tblStylePr>
    <w:tblStylePr w:type="lastCol">
      <w:rPr>
        <w:sz w:val="22"/>
      </w:rPr>
      <w:pPr>
        <w:pBdr/>
        <w:spacing/>
        <w:ind/>
      </w:pPr>
      <w:tblPr>
        <w:tblBorders/>
      </w:tblPr>
      <w:tcPr>
        <w:shd w:val="clear" w:color="f4b184" w:fill="f4b184" w:themeFill="accent2" w:themeFillTint="97"/>
        <w:tcBorders/>
      </w:tcPr>
    </w:tblStylePr>
    <w:tblStylePr w:type="lastRow">
      <w:rPr>
        <w:sz w:val="22"/>
      </w:rPr>
      <w:pPr>
        <w:pBdr/>
        <w:spacing/>
        <w:ind/>
      </w:pPr>
      <w:tblPr>
        <w:tblBorders/>
      </w:tblPr>
      <w:tcPr>
        <w:shd w:val="clear" w:color="f4b184"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9" w:customStyle="1">
    <w:name w:val="Bordered &amp; Lined - Accent 3"/>
    <w:basedOn w:val="1253"/>
    <w:uiPriority w:val="99"/>
    <w:pPr>
      <w:pBdr/>
      <w:spacing/>
      <w:ind/>
    </w:pPr>
    <w:rPr>
      <w:sz w:val="20"/>
      <w:szCs w:val="20"/>
    </w:rPr>
    <w:tblPr>
      <w:tblStyleRowBandSize w:val="1"/>
      <w:tblStyleColBandSize w:val="1"/>
      <w:tblCellMar>
        <w:left w:w="108" w:type="dxa"/>
        <w:top w:w="0" w:type="dxa"/>
        <w:right w:w="108" w:type="dxa"/>
        <w:bottom w:w="0" w:type="dxa"/>
      </w:tblCellMar>
      <w:tblBorders>
        <w:top w:val="single" w:color="a5a5a5" w:themeColor="accent3" w:sz="4" w:space="0"/>
        <w:left w:val="single" w:color="a5a5a5" w:themeColor="accent3" w:sz="4" w:space="0"/>
        <w:bottom w:val="single" w:color="a5a5a5" w:themeColor="accent3" w:sz="4" w:space="0"/>
        <w:right w:val="single" w:color="a5a5a5" w:themeColor="accent3" w:sz="4" w:space="0"/>
        <w:insideH w:val="single" w:color="a5a5a5" w:themeColor="accent3" w:sz="4" w:space="0"/>
        <w:insideV w:val="single" w:color="a5a5a5"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cecec" w:fill="ececec" w:themeFill="accent3" w:themeFillTint="34"/>
        <w:tcBorders/>
      </w:tcPr>
    </w:tblStylePr>
    <w:tblStylePr w:type="band2Vert">
      <w:rPr>
        <w:sz w:val="22"/>
      </w:rPr>
      <w:pPr>
        <w:pBdr/>
        <w:spacing/>
        <w:ind/>
      </w:pPr>
      <w:tblPr>
        <w:tblBorders/>
      </w:tblPr>
      <w:tcPr>
        <w:shd w:val="clear" w:color="ececec" w:fill="ececec" w:themeFill="accent3" w:themeFillTint="34"/>
        <w:tcBorders/>
      </w:tcPr>
    </w:tblStylePr>
    <w:tblStylePr w:type="firstCol">
      <w:rPr>
        <w:sz w:val="22"/>
      </w:rPr>
      <w:pPr>
        <w:pBdr/>
        <w:spacing/>
        <w:ind/>
      </w:pPr>
      <w:tblPr>
        <w:tblBorders/>
      </w:tblPr>
      <w:tcPr>
        <w:shd w:val="clear" w:color="a5a5a5" w:fill="a5a5a5" w:themeFill="accent3" w:themeFillTint="FE"/>
        <w:tcBorders/>
      </w:tcPr>
    </w:tblStylePr>
    <w:tblStylePr w:type="firstRow">
      <w:rPr>
        <w:sz w:val="22"/>
      </w:rPr>
      <w:pPr>
        <w:pBdr/>
        <w:spacing/>
        <w:ind/>
      </w:pPr>
      <w:tblPr>
        <w:tblBorders/>
      </w:tblPr>
      <w:tcPr>
        <w:shd w:val="clear" w:color="a5a5a5" w:fill="a5a5a5" w:themeFill="accent3" w:themeFillTint="FE"/>
        <w:tcBorders/>
      </w:tcPr>
    </w:tblStylePr>
    <w:tblStylePr w:type="lastCol">
      <w:rPr>
        <w:sz w:val="22"/>
      </w:rPr>
      <w:pPr>
        <w:pBdr/>
        <w:spacing/>
        <w:ind/>
      </w:pPr>
      <w:tblPr>
        <w:tblBorders/>
      </w:tblPr>
      <w:tcPr>
        <w:shd w:val="clear" w:color="a5a5a5" w:fill="a5a5a5" w:themeFill="accent3" w:themeFillTint="FE"/>
        <w:tcBorders/>
      </w:tcPr>
    </w:tblStylePr>
    <w:tblStylePr w:type="lastRow">
      <w:rPr>
        <w:sz w:val="22"/>
      </w:rPr>
      <w:pPr>
        <w:pBdr/>
        <w:spacing/>
        <w:ind/>
      </w:pPr>
      <w:tblPr>
        <w:tblBorders/>
      </w:tblPr>
      <w:tcPr>
        <w:shd w:val="clear" w:color="a5a5a5"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0" w:customStyle="1">
    <w:name w:val="Bordered &amp; Lined - Accent 4"/>
    <w:basedOn w:val="1253"/>
    <w:uiPriority w:val="99"/>
    <w:pPr>
      <w:pBdr/>
      <w:spacing/>
      <w:ind/>
    </w:pPr>
    <w:rPr>
      <w:sz w:val="20"/>
      <w:szCs w:val="20"/>
    </w:rPr>
    <w:tblPr>
      <w:tblStyleRowBandSize w:val="1"/>
      <w:tblStyleColBandSize w:val="1"/>
      <w:tblCellMar>
        <w:left w:w="108" w:type="dxa"/>
        <w:top w:w="0" w:type="dxa"/>
        <w:right w:w="108" w:type="dxa"/>
        <w:bottom w:w="0" w:type="dxa"/>
      </w:tblCellMar>
      <w:tblBorders>
        <w:top w:val="single" w:color="ffc000" w:themeColor="accent4" w:sz="4" w:space="0"/>
        <w:left w:val="single" w:color="ffc000" w:themeColor="accent4" w:sz="4" w:space="0"/>
        <w:bottom w:val="single" w:color="ffc000" w:themeColor="accent4" w:sz="4" w:space="0"/>
        <w:right w:val="single" w:color="ffc000" w:themeColor="accent4" w:sz="4" w:space="0"/>
        <w:insideH w:val="single" w:color="ffc000" w:themeColor="accent4" w:sz="4" w:space="0"/>
        <w:insideV w:val="single" w:color="ffc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2cb" w:fill="fff2cb" w:themeFill="accent4" w:themeFillTint="34"/>
        <w:tcBorders/>
      </w:tcPr>
    </w:tblStylePr>
    <w:tblStylePr w:type="band2Vert">
      <w:rPr>
        <w:sz w:val="22"/>
      </w:rPr>
      <w:pPr>
        <w:pBdr/>
        <w:spacing/>
        <w:ind/>
      </w:pPr>
      <w:tblPr>
        <w:tblBorders/>
      </w:tblPr>
      <w:tcPr>
        <w:shd w:val="clear" w:color="fff2cb" w:fill="fff2cb" w:themeFill="accent4" w:themeFillTint="34"/>
        <w:tcBorders/>
      </w:tcPr>
    </w:tblStylePr>
    <w:tblStylePr w:type="firstCol">
      <w:rPr>
        <w:sz w:val="22"/>
      </w:rPr>
      <w:pPr>
        <w:pBdr/>
        <w:spacing/>
        <w:ind/>
      </w:pPr>
      <w:tblPr>
        <w:tblBorders/>
      </w:tblPr>
      <w:tcPr>
        <w:shd w:val="clear" w:color="ffd865" w:fill="ffd865" w:themeFill="accent4" w:themeFillTint="9A"/>
        <w:tcBorders/>
      </w:tcPr>
    </w:tblStylePr>
    <w:tblStylePr w:type="firstRow">
      <w:rPr>
        <w:sz w:val="22"/>
      </w:rPr>
      <w:pPr>
        <w:pBdr/>
        <w:spacing/>
        <w:ind/>
      </w:pPr>
      <w:tblPr>
        <w:tblBorders/>
      </w:tblPr>
      <w:tcPr>
        <w:shd w:val="clear" w:color="ffd865" w:fill="ffd865" w:themeFill="accent4" w:themeFillTint="9A"/>
        <w:tcBorders/>
      </w:tcPr>
    </w:tblStylePr>
    <w:tblStylePr w:type="lastCol">
      <w:rPr>
        <w:sz w:val="22"/>
      </w:rPr>
      <w:pPr>
        <w:pBdr/>
        <w:spacing/>
        <w:ind/>
      </w:pPr>
      <w:tblPr>
        <w:tblBorders/>
      </w:tblPr>
      <w:tcPr>
        <w:shd w:val="clear" w:color="ffd865" w:fill="ffd865" w:themeFill="accent4" w:themeFillTint="9A"/>
        <w:tcBorders/>
      </w:tcPr>
    </w:tblStylePr>
    <w:tblStylePr w:type="lastRow">
      <w:rPr>
        <w:sz w:val="22"/>
      </w:rPr>
      <w:pPr>
        <w:pBdr/>
        <w:spacing/>
        <w:ind/>
      </w:pPr>
      <w:tblPr>
        <w:tblBorders/>
      </w:tblPr>
      <w:tcPr>
        <w:shd w:val="clear" w:color="ffd865"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1" w:customStyle="1">
    <w:name w:val="Bordered &amp; Lined - Accent 5"/>
    <w:basedOn w:val="1253"/>
    <w:uiPriority w:val="99"/>
    <w:pPr>
      <w:pBdr/>
      <w:spacing/>
      <w:ind/>
    </w:pPr>
    <w:rPr>
      <w:sz w:val="20"/>
      <w:szCs w:val="20"/>
    </w:rPr>
    <w:tblPr>
      <w:tblStyleRowBandSize w:val="1"/>
      <w:tblStyleColBandSize w:val="1"/>
      <w:tblCellMar>
        <w:left w:w="108" w:type="dxa"/>
        <w:top w:w="0" w:type="dxa"/>
        <w:right w:w="108" w:type="dxa"/>
        <w:bottom w:w="0" w:type="dxa"/>
      </w:tblCellMa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8e2f3" w:fill="d8e2f3" w:themeFill="accent5" w:themeFillTint="34"/>
        <w:tcBorders/>
      </w:tcPr>
    </w:tblStylePr>
    <w:tblStylePr w:type="band2Vert">
      <w:rPr>
        <w:sz w:val="22"/>
      </w:rPr>
      <w:pPr>
        <w:pBdr/>
        <w:spacing/>
        <w:ind/>
      </w:pPr>
      <w:tblPr>
        <w:tblBorders/>
      </w:tblPr>
      <w:tcPr>
        <w:shd w:val="clear" w:color="d8e2f3" w:fill="d8e2f3" w:themeFill="accent5" w:themeFillTint="34"/>
        <w:tcBorders/>
      </w:tcPr>
    </w:tblStylePr>
    <w:tblStylePr w:type="firstCol">
      <w:rPr>
        <w:sz w:val="22"/>
      </w:rPr>
      <w:pPr>
        <w:pBdr/>
        <w:spacing/>
        <w:ind/>
      </w:pPr>
      <w:tblPr>
        <w:tblBorders/>
      </w:tblPr>
      <w:tcPr>
        <w:shd w:val="clear" w:color="4472c4" w:fill="4472c4" w:themeFill="accent5"/>
        <w:tcBorders/>
      </w:tcPr>
    </w:tblStylePr>
    <w:tblStylePr w:type="firstRow">
      <w:rPr>
        <w:sz w:val="22"/>
      </w:rPr>
      <w:pPr>
        <w:pBdr/>
        <w:spacing/>
        <w:ind/>
      </w:pPr>
      <w:tblPr>
        <w:tblBorders/>
      </w:tblPr>
      <w:tcPr>
        <w:shd w:val="clear" w:color="4472c4" w:fill="4472c4" w:themeFill="accent5"/>
        <w:tcBorders/>
      </w:tcPr>
    </w:tblStylePr>
    <w:tblStylePr w:type="lastCol">
      <w:rPr>
        <w:sz w:val="22"/>
      </w:rPr>
      <w:pPr>
        <w:pBdr/>
        <w:spacing/>
        <w:ind/>
      </w:pPr>
      <w:tblPr>
        <w:tblBorders/>
      </w:tblPr>
      <w:tcPr>
        <w:shd w:val="clear" w:color="4472c4" w:fill="4472c4" w:themeFill="accent5"/>
        <w:tcBorders/>
      </w:tcPr>
    </w:tblStylePr>
    <w:tblStylePr w:type="lastRow">
      <w:rPr>
        <w:sz w:val="22"/>
      </w:rPr>
      <w:pPr>
        <w:pBdr/>
        <w:spacing/>
        <w:ind/>
      </w:pPr>
      <w:tblPr>
        <w:tblBorders/>
      </w:tblPr>
      <w:tcPr>
        <w:shd w:val="clear" w:color="4472c4"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2" w:customStyle="1">
    <w:name w:val="Bordered &amp; Lined - Accent 6"/>
    <w:basedOn w:val="1253"/>
    <w:uiPriority w:val="99"/>
    <w:pPr>
      <w:pBdr/>
      <w:spacing/>
      <w:ind/>
    </w:pPr>
    <w:rPr>
      <w:sz w:val="20"/>
      <w:szCs w:val="20"/>
    </w:rPr>
    <w:tblPr>
      <w:tblStyleRowBandSize w:val="1"/>
      <w:tblStyleColBandSize w:val="1"/>
      <w:tblCellMar>
        <w:left w:w="108" w:type="dxa"/>
        <w:top w:w="0" w:type="dxa"/>
        <w:right w:w="108" w:type="dxa"/>
        <w:bottom w:w="0" w:type="dxa"/>
      </w:tblCellMa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1efd8" w:fill="e1efd8" w:themeFill="accent6" w:themeFillTint="34"/>
        <w:tcBorders/>
      </w:tcPr>
    </w:tblStylePr>
    <w:tblStylePr w:type="band2Vert">
      <w:rPr>
        <w:sz w:val="22"/>
      </w:rPr>
      <w:pPr>
        <w:pBdr/>
        <w:spacing/>
        <w:ind/>
      </w:pPr>
      <w:tblPr>
        <w:tblBorders/>
      </w:tblPr>
      <w:tcPr>
        <w:shd w:val="clear" w:color="e1efd8" w:fill="e1efd8" w:themeFill="accent6" w:themeFillTint="34"/>
        <w:tcBorders/>
      </w:tcPr>
    </w:tblStylePr>
    <w:tblStylePr w:type="firstCol">
      <w:rPr>
        <w:sz w:val="22"/>
      </w:rPr>
      <w:pPr>
        <w:pBdr/>
        <w:spacing/>
        <w:ind/>
      </w:pPr>
      <w:tblPr>
        <w:tblBorders/>
      </w:tblPr>
      <w:tcPr>
        <w:shd w:val="clear" w:color="70ad47" w:fill="70ad47" w:themeFill="accent6"/>
        <w:tcBorders/>
      </w:tcPr>
    </w:tblStylePr>
    <w:tblStylePr w:type="firstRow">
      <w:rPr>
        <w:sz w:val="22"/>
      </w:rPr>
      <w:pPr>
        <w:pBdr/>
        <w:spacing/>
        <w:ind/>
      </w:pPr>
      <w:tblPr>
        <w:tblBorders/>
      </w:tblPr>
      <w:tcPr>
        <w:shd w:val="clear" w:color="70ad47" w:fill="70ad47" w:themeFill="accent6"/>
        <w:tcBorders/>
      </w:tcPr>
    </w:tblStylePr>
    <w:tblStylePr w:type="lastCol">
      <w:rPr>
        <w:sz w:val="22"/>
      </w:rPr>
      <w:pPr>
        <w:pBdr/>
        <w:spacing/>
        <w:ind/>
      </w:pPr>
      <w:tblPr>
        <w:tblBorders/>
      </w:tblPr>
      <w:tcPr>
        <w:shd w:val="clear" w:color="70ad47" w:fill="70ad47" w:themeFill="accent6"/>
        <w:tcBorders/>
      </w:tcPr>
    </w:tblStylePr>
    <w:tblStylePr w:type="lastRow">
      <w:rPr>
        <w:sz w:val="22"/>
      </w:rPr>
      <w:pPr>
        <w:pBdr/>
        <w:spacing/>
        <w:ind/>
      </w:pPr>
      <w:tblPr>
        <w:tblBorders/>
      </w:tblPr>
      <w:tcPr>
        <w:shd w:val="clear" w:color="70ad47"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3" w:customStyle="1">
    <w:name w:val="Bordered"/>
    <w:basedOn w:val="1253"/>
    <w:uiPriority w:val="99"/>
    <w:pPr>
      <w:pBdr/>
      <w:spacing/>
      <w:ind/>
    </w:pPr>
    <w:tblPr>
      <w:tblStyleRowBandSize w:val="1"/>
      <w:tblStyleColBandSize w:val="1"/>
      <w:tblCellMar>
        <w:left w:w="108" w:type="dxa"/>
        <w:top w:w="0" w:type="dxa"/>
        <w:right w:w="108" w:type="dxa"/>
        <w:bottom w:w="0" w:type="dxa"/>
      </w:tblCellMar>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4" w:customStyle="1">
    <w:name w:val="Bordered - Accent 1"/>
    <w:basedOn w:val="1253"/>
    <w:uiPriority w:val="99"/>
    <w:pPr>
      <w:pBdr/>
      <w:spacing/>
      <w:ind/>
    </w:pPr>
    <w:tblPr>
      <w:tblStyleRowBandSize w:val="1"/>
      <w:tblStyleColBandSize w:val="1"/>
      <w:tblCellMar>
        <w:left w:w="108" w:type="dxa"/>
        <w:top w:w="0" w:type="dxa"/>
        <w:right w:w="108" w:type="dxa"/>
        <w:bottom w:w="0" w:type="dxa"/>
      </w:tblCellMa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sz w:val="22"/>
      </w:rPr>
      <w:pPr>
        <w:pBdr/>
        <w:spacing/>
        <w:ind/>
      </w:pPr>
      <w:tblPr>
        <w:tblBorders/>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5b9bd5" w:themeColor="accent1" w:sz="12" w:space="0"/>
        </w:tcBorders>
      </w:tcPr>
    </w:tblStylePr>
    <w:tblStylePr w:type="lastCol">
      <w:rPr>
        <w:sz w:val="22"/>
      </w:rPr>
      <w:pPr>
        <w:pBdr/>
        <w:spacing/>
        <w:ind/>
      </w:pPr>
      <w:tblPr>
        <w:tblBorders/>
      </w:tblPr>
      <w:tcPr>
        <w:tcBorders>
          <w:left w:val="single" w:color="5b9bd5" w:themeColor="accent1" w:sz="12" w:space="0"/>
        </w:tcBorders>
      </w:tcPr>
    </w:tblStylePr>
    <w:tblStylePr w:type="lastRow">
      <w:rPr>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5" w:customStyle="1">
    <w:name w:val="Bordered - Accent 2"/>
    <w:basedOn w:val="1253"/>
    <w:uiPriority w:val="99"/>
    <w:pPr>
      <w:pBdr/>
      <w:spacing/>
      <w:ind/>
    </w:pPr>
    <w:tblPr>
      <w:tblStyleRowBandSize w:val="1"/>
      <w:tblStyleColBandSize w:val="1"/>
      <w:tblCellMar>
        <w:left w:w="108" w:type="dxa"/>
        <w:top w:w="0" w:type="dxa"/>
        <w:right w:w="108" w:type="dxa"/>
        <w:bottom w:w="0" w:type="dxa"/>
      </w:tblCellMa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sz w:val="22"/>
      </w:rPr>
      <w:pPr>
        <w:pBdr/>
        <w:spacing/>
        <w:ind/>
      </w:pPr>
      <w:tblPr>
        <w:tblBorders/>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ed7d31" w:themeColor="accent2" w:sz="12" w:space="0"/>
        </w:tcBorders>
      </w:tcPr>
    </w:tblStylePr>
    <w:tblStylePr w:type="lastCol">
      <w:rPr>
        <w:sz w:val="22"/>
      </w:rPr>
      <w:pPr>
        <w:pBdr/>
        <w:spacing/>
        <w:ind/>
      </w:pPr>
      <w:tblPr>
        <w:tblBorders/>
      </w:tblPr>
      <w:tcPr>
        <w:tcBorders>
          <w:left w:val="single" w:color="ed7d31" w:themeColor="accent2" w:sz="12" w:space="0"/>
        </w:tcBorders>
      </w:tcPr>
    </w:tblStylePr>
    <w:tblStylePr w:type="lastRow">
      <w:rPr>
        <w:sz w:val="22"/>
      </w:rPr>
      <w:pPr>
        <w:pBdr/>
        <w:spacing/>
        <w:ind/>
      </w:pPr>
      <w:tblPr>
        <w:tblBorders/>
      </w:tblPr>
      <w:tcPr>
        <w:tcBorders>
          <w:top w:val="single" w:color="ed7d31"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6" w:customStyle="1">
    <w:name w:val="Bordered - Accent 3"/>
    <w:basedOn w:val="1253"/>
    <w:uiPriority w:val="99"/>
    <w:pPr>
      <w:pBdr/>
      <w:spacing/>
      <w:ind/>
    </w:pPr>
    <w:tblPr>
      <w:tblStyleRowBandSize w:val="1"/>
      <w:tblStyleColBandSize w:val="1"/>
      <w:tblCellMar>
        <w:left w:w="108" w:type="dxa"/>
        <w:top w:w="0" w:type="dxa"/>
        <w:right w:w="108" w:type="dxa"/>
        <w:bottom w:w="0" w:type="dxa"/>
      </w:tblCellMa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sz w:val="22"/>
      </w:rPr>
      <w:pPr>
        <w:pBdr/>
        <w:spacing/>
        <w:ind/>
      </w:pPr>
      <w:tblPr>
        <w:tblBorders/>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a5a5a5" w:themeColor="accent3" w:sz="12" w:space="0"/>
        </w:tcBorders>
      </w:tcPr>
    </w:tblStylePr>
    <w:tblStylePr w:type="lastCol">
      <w:rPr>
        <w:sz w:val="22"/>
      </w:rPr>
      <w:pPr>
        <w:pBdr/>
        <w:spacing/>
        <w:ind/>
      </w:pPr>
      <w:tblPr>
        <w:tblBorders/>
      </w:tblPr>
      <w:tcPr>
        <w:tcBorders>
          <w:left w:val="single" w:color="a5a5a5" w:themeColor="accent3" w:sz="12" w:space="0"/>
        </w:tcBorders>
      </w:tcPr>
    </w:tblStylePr>
    <w:tblStylePr w:type="lastRow">
      <w:rPr>
        <w:sz w:val="22"/>
      </w:rPr>
      <w:pPr>
        <w:pBdr/>
        <w:spacing/>
        <w:ind/>
      </w:pPr>
      <w:tblPr>
        <w:tblBorders/>
      </w:tblPr>
      <w:tcPr>
        <w:tcBorders>
          <w:top w:val="single" w:color="a5a5a5"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7" w:customStyle="1">
    <w:name w:val="Bordered - Accent 4"/>
    <w:basedOn w:val="1253"/>
    <w:uiPriority w:val="99"/>
    <w:pPr>
      <w:pBdr/>
      <w:spacing/>
      <w:ind/>
    </w:pPr>
    <w:tblPr>
      <w:tblStyleRowBandSize w:val="1"/>
      <w:tblStyleColBandSize w:val="1"/>
      <w:tblCellMar>
        <w:left w:w="108" w:type="dxa"/>
        <w:top w:w="0" w:type="dxa"/>
        <w:right w:w="108" w:type="dxa"/>
        <w:bottom w:w="0" w:type="dxa"/>
      </w:tblCellMar>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sz w:val="22"/>
      </w:rPr>
      <w:pPr>
        <w:pBdr/>
        <w:spacing/>
        <w:ind/>
      </w:pPr>
      <w:tblPr>
        <w:tblBorders/>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ffc000" w:themeColor="accent4" w:sz="12" w:space="0"/>
        </w:tcBorders>
      </w:tcPr>
    </w:tblStylePr>
    <w:tblStylePr w:type="lastCol">
      <w:rPr>
        <w:sz w:val="22"/>
      </w:rPr>
      <w:pPr>
        <w:pBdr/>
        <w:spacing/>
        <w:ind/>
      </w:pPr>
      <w:tblPr>
        <w:tblBorders/>
      </w:tblPr>
      <w:tcPr>
        <w:tcBorders>
          <w:left w:val="single" w:color="ffc000" w:themeColor="accent4" w:sz="12" w:space="0"/>
        </w:tcBorders>
      </w:tcPr>
    </w:tblStylePr>
    <w:tblStylePr w:type="lastRow">
      <w:rPr>
        <w:sz w:val="22"/>
      </w:rPr>
      <w:pPr>
        <w:pBdr/>
        <w:spacing/>
        <w:ind/>
      </w:pPr>
      <w:tblPr>
        <w:tblBorders/>
      </w:tblPr>
      <w:tcPr>
        <w:tcBorders>
          <w:top w:val="single" w:color="ffc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8" w:customStyle="1">
    <w:name w:val="Bordered - Accent 5"/>
    <w:basedOn w:val="1253"/>
    <w:uiPriority w:val="99"/>
    <w:pPr>
      <w:pBdr/>
      <w:spacing/>
      <w:ind/>
    </w:pPr>
    <w:tblPr>
      <w:tblStyleRowBandSize w:val="1"/>
      <w:tblStyleColBandSize w:val="1"/>
      <w:tblCellMar>
        <w:left w:w="108" w:type="dxa"/>
        <w:top w:w="0" w:type="dxa"/>
        <w:right w:w="108" w:type="dxa"/>
        <w:bottom w:w="0" w:type="dxa"/>
      </w:tblCellMar>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sz w:val="22"/>
      </w:rPr>
      <w:pPr>
        <w:pBdr/>
        <w:spacing/>
        <w:ind/>
      </w:pPr>
      <w:tblPr>
        <w:tblBorders/>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4472c4" w:themeColor="accent5" w:sz="12" w:space="0"/>
        </w:tcBorders>
      </w:tcPr>
    </w:tblStylePr>
    <w:tblStylePr w:type="lastCol">
      <w:rPr>
        <w:sz w:val="22"/>
      </w:rPr>
      <w:pPr>
        <w:pBdr/>
        <w:spacing/>
        <w:ind/>
      </w:pPr>
      <w:tblPr>
        <w:tblBorders/>
      </w:tblPr>
      <w:tcPr>
        <w:tcBorders>
          <w:left w:val="single" w:color="4472c4" w:themeColor="accent5" w:sz="12" w:space="0"/>
        </w:tcBorders>
      </w:tcPr>
    </w:tblStylePr>
    <w:tblStylePr w:type="lastRow">
      <w:rPr>
        <w:sz w:val="22"/>
      </w:rPr>
      <w:pPr>
        <w:pBdr/>
        <w:spacing/>
        <w:ind/>
      </w:pPr>
      <w:tblPr>
        <w:tblBorders/>
      </w:tblPr>
      <w:tcPr>
        <w:tcBorders>
          <w:top w:val="single" w:color="4472c4"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9" w:customStyle="1">
    <w:name w:val="Bordered - Accent 6"/>
    <w:basedOn w:val="1253"/>
    <w:uiPriority w:val="99"/>
    <w:pPr>
      <w:pBdr/>
      <w:spacing/>
      <w:ind/>
    </w:pPr>
    <w:tblPr>
      <w:tblStyleRowBandSize w:val="1"/>
      <w:tblStyleColBandSize w:val="1"/>
      <w:tblCellMar>
        <w:left w:w="108" w:type="dxa"/>
        <w:top w:w="0" w:type="dxa"/>
        <w:right w:w="108" w:type="dxa"/>
        <w:bottom w:w="0" w:type="dxa"/>
      </w:tblCellMa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sz w:val="22"/>
      </w:rPr>
      <w:pPr>
        <w:pBdr/>
        <w:spacing/>
        <w:ind/>
      </w:pPr>
      <w:tblPr>
        <w:tblBorders/>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70ad47" w:themeColor="accent6" w:sz="12" w:space="0"/>
        </w:tcBorders>
      </w:tcPr>
    </w:tblStylePr>
    <w:tblStylePr w:type="lastCol">
      <w:rPr>
        <w:sz w:val="22"/>
      </w:rPr>
      <w:pPr>
        <w:pBdr/>
        <w:spacing/>
        <w:ind/>
      </w:pPr>
      <w:tblPr>
        <w:tblBorders/>
      </w:tblPr>
      <w:tcPr>
        <w:tcBorders>
          <w:left w:val="single" w:color="70ad47" w:themeColor="accent6" w:sz="12" w:space="0"/>
        </w:tcBorders>
      </w:tcPr>
    </w:tblStylePr>
    <w:tblStylePr w:type="lastRow">
      <w:rPr>
        <w:sz w:val="22"/>
      </w:rPr>
      <w:pPr>
        <w:pBdr/>
        <w:spacing/>
        <w:ind/>
      </w:pPr>
      <w:tblPr>
        <w:tblBorders/>
      </w:tblPr>
      <w:tcPr>
        <w:tcBorders>
          <w:top w:val="single" w:color="70ad47"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80">
    <w:name w:val="Table Grid"/>
    <w:basedOn w:val="1253"/>
    <w:uiPriority w:val="39"/>
    <w:pPr>
      <w:pBdr/>
      <w:spacing/>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81" w:customStyle="1">
    <w:name w:val="Table Normal1"/>
    <w:uiPriority w:val="2"/>
    <w:semiHidden/>
    <w:unhideWhenUsed/>
    <w:qFormat/>
    <w:pPr>
      <w:pBdr/>
      <w:spacing/>
      <w:ind/>
    </w:pPr>
    <w:rPr>
      <w:lang w:val="en-US"/>
    </w:rPr>
    <w:tblPr>
      <w:tblCellMar>
        <w:left w:w="0" w:type="dxa"/>
        <w:top w:w="0" w:type="dxa"/>
        <w:right w:w="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82" w:customStyle="1">
    <w:name w:val="8"/>
    <w:basedOn w:val="1381"/>
    <w:pPr>
      <w:pBdr/>
      <w:spacing/>
      <w:ind/>
    </w:pPr>
    <w:tblPr>
      <w:tblStyleRowBandSize w:val="1"/>
      <w:tblStyleColBandSize w:val="1"/>
      <w:tblCellMar>
        <w:left w:w="70" w:type="dxa"/>
        <w:top w:w="0" w:type="dxa"/>
        <w:right w:w="7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83" w:customStyle="1">
    <w:name w:val="7"/>
    <w:basedOn w:val="1381"/>
    <w:pPr>
      <w:pBdr/>
      <w:spacing/>
      <w:ind/>
    </w:pPr>
    <w:rPr>
      <w:sz w:val="20"/>
      <w:szCs w:val="20"/>
    </w:r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84" w:customStyle="1">
    <w:name w:val="6"/>
    <w:basedOn w:val="1381"/>
    <w:pPr>
      <w:pBdr/>
      <w:spacing/>
      <w:ind/>
    </w:pPr>
    <w:rPr>
      <w:sz w:val="20"/>
      <w:szCs w:val="20"/>
    </w:r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85" w:customStyle="1">
    <w:name w:val="5"/>
    <w:basedOn w:val="1381"/>
    <w:pPr>
      <w:pBdr/>
      <w:spacing/>
      <w:ind/>
    </w:pPr>
    <w:rPr>
      <w:sz w:val="20"/>
      <w:szCs w:val="20"/>
    </w:r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86" w:customStyle="1">
    <w:name w:val="4"/>
    <w:basedOn w:val="1381"/>
    <w:pPr>
      <w:pBdr/>
      <w:spacing/>
      <w:ind/>
    </w:pPr>
    <w:tblPr>
      <w:tblStyleRowBandSize w:val="1"/>
      <w:tblStyleColBandSize w:val="1"/>
      <w:tblCellMar>
        <w:left w:w="0" w:type="dxa"/>
        <w:top w:w="0" w:type="dxa"/>
        <w:right w:w="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87" w:customStyle="1">
    <w:name w:val="3"/>
    <w:basedOn w:val="1381"/>
    <w:pPr>
      <w:pBdr/>
      <w:spacing/>
      <w:ind/>
    </w:pPr>
    <w:tblPr>
      <w:tblStyleRowBandSize w:val="1"/>
      <w:tblStyleColBandSize w:val="1"/>
      <w:tblCellMar>
        <w:left w:w="0" w:type="dxa"/>
        <w:top w:w="0" w:type="dxa"/>
        <w:right w:w="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88" w:customStyle="1">
    <w:name w:val="2"/>
    <w:basedOn w:val="1381"/>
    <w:pPr>
      <w:pBdr/>
      <w:spacing/>
      <w:ind/>
    </w:pPr>
    <w:rPr>
      <w:sz w:val="20"/>
      <w:szCs w:val="20"/>
    </w:r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89" w:customStyle="1">
    <w:name w:val="1"/>
    <w:basedOn w:val="1381"/>
    <w:pPr>
      <w:pBdr/>
      <w:spacing/>
      <w:ind/>
    </w:pPr>
    <w:rPr>
      <w:sz w:val="20"/>
      <w:szCs w:val="20"/>
    </w:r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customXml" Target="../customXml/item1.xml" /><Relationship Id="rId16" Type="http://schemas.openxmlformats.org/officeDocument/2006/relationships/hyperlink" Target="http://www.planalto.gov.br/ccivil_03/_ato2019-2022/2021/lei/L14133.htm" TargetMode="External"/><Relationship Id="rId17" Type="http://schemas.openxmlformats.org/officeDocument/2006/relationships/hyperlink" Target="http://www.licitacoes.caixa.gov.br/" TargetMode="External"/><Relationship Id="rId18" Type="http://schemas.openxmlformats.org/officeDocument/2006/relationships/hyperlink" Target="http://www.licitacoes.caixa.gov.br/" TargetMode="External"/><Relationship Id="rId19" Type="http://schemas.openxmlformats.org/officeDocument/2006/relationships/hyperlink" Target="http://www.riodasflores.rj.gov.br/" TargetMode="External"/><Relationship Id="rId20" Type="http://schemas.openxmlformats.org/officeDocument/2006/relationships/hyperlink" Target="mailto:secadministracao@riodasflores.rj.gov.br" TargetMode="External"/><Relationship Id="rId21"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28" Type="http://schemas.openxmlformats.org/officeDocument/2006/relationships/hyperlink" Target="https://www.planalto.gov.br/ccivil_03/_ato2015-2018/2015/decreto/d8539.htm" TargetMode="External"/><Relationship Id="rId29" Type="http://schemas.openxmlformats.org/officeDocument/2006/relationships/hyperlink" Target="https://www.portaltransparencia.gov.br/sancoes/ceis" TargetMode="External"/><Relationship Id="rId30" Type="http://schemas.openxmlformats.org/officeDocument/2006/relationships/hyperlink" Target="https://www.portaltransparencia.gov.br/sancoes/cnep" TargetMode="External"/><Relationship Id="rId31"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s://www.planalto.gov.br/ccivil_03/_ato2015-2018/2016/decreto/d8660.htm" TargetMode="External"/><Relationship Id="rId34"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seges-me-no-73-de-30-de-setembro-de-2022" TargetMode="External"/><Relationship Id="rId39"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gov.br/compras/pt-br/acesso-a-informacao/legislacao/instrucoes-normativas/instrucao-normativa-seges-me-no-73-de-30-de-setembro-de-2022" TargetMode="External"/><Relationship Id="rId41" Type="http://schemas.openxmlformats.org/officeDocument/2006/relationships/hyperlink" Target="http://www.riodasflores.rj.gov.br/" TargetMode="External"/><Relationship Id="rId42"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http://www.planalto.gov.br/ccivil_03/_ato2019-2022/2021/lei/L14133.htm" TargetMode="External"/><Relationship Id="rId45" Type="http://schemas.openxmlformats.org/officeDocument/2006/relationships/hyperlink" Target="mailto:licitacao@riodasflores.rj.gov.br" TargetMode="External"/><Relationship Id="rId46" Type="http://schemas.openxmlformats.org/officeDocument/2006/relationships/hyperlink" Target="http://www.riodasflores.rj.gov.br/" TargetMode="External"/><Relationship Id="rId47"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8078compilado.htm" TargetMode="External"/><Relationship Id="rId49"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1"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25art159" TargetMode="External"/><Relationship Id="rId53" Type="http://schemas.openxmlformats.org/officeDocument/2006/relationships/hyperlink" Target="https://www.gov.br/compras/pt-br/acesso-a-informacao/legislacao/instrucoes-normativas/instrucao-normativa-seges-me-no-26-de-13-de-abril-de-2022" TargetMode="External"/><Relationship Id="rId54"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xmlns:r="http://schemas.openxmlformats.org/officeDocument/2006/relationships" xmlns:p="http://schemas.openxmlformats.org/presentationml/2006/main" name="Tema do Office">
  <a:themeElements>
    <a:clrScheme name="Escritório">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4tXyVnsvF1nGrlNHt0hluqM1y0Q==">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HeadingPairs>
    <vt:vector size="0" baseType="variant"/>
  </HeadingPairs>
  <TitlesOfParts>
    <vt:vector size="0" baseType="lpstr"/>
  </TitlesOfPart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 da Microsoft</dc:creator>
  <dc:description/>
  <dc:language>pt-BR</dc:language>
  <cp:revision>61</cp:revision>
  <dcterms:created xsi:type="dcterms:W3CDTF">2024-06-14T12:47:00Z</dcterms:created>
  <dcterms:modified xsi:type="dcterms:W3CDTF">2026-03-24T13:45:53Z</dcterms:modified>
</cp:coreProperties>
</file>